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Antalpha Platform Holding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Tether Global Investments Fund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Final Av. La Revolucion, Edif. Centro, Corporativo Presidente Plaza, Nivel 12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Salvador, H3, 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4420 4621 1793</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Daniel Woodard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McDermott Will &amp; Schulte LLP, One Vanderbilt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547-5400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Tether Global Investments Fund, S.I.C.A.F., S.A.</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EL SALVADOR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1,950,000.00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1,950,000.00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1,950,000.00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Note in relation to Items 8, 10 and 11: Includes 1,950,000 Class A Ordinary Shares, par value $0.001 per share ("Ordinary Shares") of Antalpha Platform Holding Company (the "Issuer") held by Tether International, S.A. de C.V., a controlled subsidiary of Tether Global Investments Fund, S.I.C.A.F., S.A. Note in relation to Item 13: This</w:t>
      </w:r>
    </w:p>
    <w:p>
      <w:pPr>
        <w:spacing w:after="0" w:line="1" w:lineRule="exact"/>
        <w:rPr>
          <w:sz w:val="20"/>
          <w:szCs w:val="20"/>
          <w:color w:val="auto"/>
        </w:rPr>
      </w:pPr>
    </w:p>
    <w:p>
      <w:pPr>
        <w:sectPr>
          <w:pgSz w:w="11900" w:h="16838" w:orient="portrait"/>
          <w:cols w:equalWidth="0" w:num="2">
            <w:col w:w="820" w:space="100"/>
            <w:col w:w="10320"/>
          </w:cols>
          <w:pgMar w:left="320" w:top="111" w:right="339" w:bottom="0" w:gutter="0" w:footer="0" w:header="0"/>
          <w:type w:val="continuous"/>
        </w:sectPr>
      </w:pPr>
    </w:p>
    <w:p>
      <w:pPr>
        <w:ind w:right="20"/>
        <w:spacing w:after="0" w:line="184"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percentage is calculated based upon 23,980,257 Ordinary Shares outstanding on December 31, 2025, as reported in the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Issuer's Annual Report on Form 20-F filed with the Securities and Exchange Commission on April 14, 2026.</w:t>
      </w: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Tether Investments, S.A. de C.V.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111" w:right="339"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 SALVADOR</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Tether International, S.A. de C.V.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EL SALVADOR</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1,950,000.00</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1,950,000.00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1,950,000.00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8.1 %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Note in relation to Item 13: This percentage is calculated based upon 23,980,257 Ordinary Shares outstanding</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380"/>
              <w:spacing w:after="0" w:line="229" w:lineRule="exact"/>
              <w:rPr>
                <w:sz w:val="20"/>
                <w:szCs w:val="20"/>
                <w:color w:val="auto"/>
              </w:rPr>
            </w:pPr>
            <w:r>
              <w:rPr>
                <w:rFonts w:ascii="Times New Roman" w:cs="Times New Roman" w:eastAsia="Times New Roman" w:hAnsi="Times New Roman"/>
                <w:sz w:val="22"/>
                <w:szCs w:val="22"/>
                <w:color w:val="auto"/>
              </w:rPr>
              <w:t>on December 31, 2025, as reported in the Issuer's Annual Report on Form 20-F filed with the Securities and</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380"/>
              <w:spacing w:after="0" w:line="240" w:lineRule="exact"/>
              <w:rPr>
                <w:sz w:val="20"/>
                <w:szCs w:val="20"/>
                <w:color w:val="auto"/>
              </w:rPr>
            </w:pPr>
            <w:r>
              <w:rPr>
                <w:rFonts w:ascii="Times New Roman" w:cs="Times New Roman" w:eastAsia="Times New Roman" w:hAnsi="Times New Roman"/>
                <w:sz w:val="22"/>
                <w:szCs w:val="22"/>
                <w:color w:val="auto"/>
              </w:rPr>
              <w:t>Exchange Commission on April 14, 2026.</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Giancarlo Devasini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0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ITALY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1,950,000.00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1,950,000.00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100" w:space="60"/>
            <w:col w:w="10080"/>
          </w:cols>
          <w:pgMar w:left="320" w:top="102" w:right="33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1,950,000.00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8.1 %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in relation to Items 8, 10 and 11: Includes 1,950,000 Ordinary Shares held by Tether International, S.A. de C.V., a</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9"/>
              </w:rPr>
              <w:t>controlled subsidiary of Tether Global Investments Fund, S.I.C.A.F., S.A. Mr. Devasini has a greater than 50% voting</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interest in Tether Global Investments Fund, S.I.C.A.F., S.A. The reporting person disclaims beneficial ownership of</w:t>
            </w:r>
          </w:p>
        </w:tc>
      </w:tr>
    </w:tbl>
    <w:p>
      <w:pPr>
        <w:jc w:val="center"/>
        <w:spacing w:after="0" w:line="205" w:lineRule="auto"/>
        <w:rPr>
          <w:sz w:val="20"/>
          <w:szCs w:val="20"/>
          <w:color w:val="auto"/>
        </w:rPr>
      </w:pPr>
      <w:r>
        <w:rPr>
          <w:rFonts w:ascii="Times New Roman" w:cs="Times New Roman" w:eastAsia="Times New Roman" w:hAnsi="Times New Roman"/>
          <w:sz w:val="37"/>
          <w:szCs w:val="37"/>
          <w:b w:val="1"/>
          <w:bCs w:val="1"/>
          <w:color w:val="auto"/>
          <w:vertAlign w:val="superscript"/>
        </w:rPr>
        <w:t>Reporting</w:t>
      </w:r>
      <w:r>
        <w:rPr>
          <w:rFonts w:ascii="Times New Roman" w:cs="Times New Roman" w:eastAsia="Times New Roman" w:hAnsi="Times New Roman"/>
          <w:sz w:val="21"/>
          <w:szCs w:val="21"/>
          <w:color w:val="auto"/>
        </w:rPr>
        <w:t xml:space="preserve"> these shares except to the extent of the reporting person's pecuniary interest. Note in relation to Item 13: This </w:t>
      </w:r>
      <w:r>
        <w:rPr>
          <w:rFonts w:ascii="Times New Roman" w:cs="Times New Roman" w:eastAsia="Times New Roman" w:hAnsi="Times New Roman"/>
          <w:sz w:val="37"/>
          <w:szCs w:val="37"/>
          <w:b w:val="1"/>
          <w:bCs w:val="1"/>
          <w:color w:val="auto"/>
          <w:vertAlign w:val="superscript"/>
        </w:rPr>
        <w:t>Person:</w:t>
      </w:r>
      <w:r>
        <w:rPr>
          <w:rFonts w:ascii="Times New Roman" w:cs="Times New Roman" w:eastAsia="Times New Roman" w:hAnsi="Times New Roman"/>
          <w:sz w:val="21"/>
          <w:szCs w:val="21"/>
          <w:color w:val="auto"/>
        </w:rPr>
        <w:t xml:space="preserve">   percentage is calculated based upon 23,980,257 Ordinary Shares outstanding on December 31, 2025, as reported in the Issuer's Annual Report on Form 20-F filed with the Securities and Exchange Commission on April 14,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Antalpha Platform Holding Co</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7 TEMASEK BOULEVARD, #31-02, SUNTEC TOWER ONE, Singapore, SINGAPORE , 038987.</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amends the Schedule 13D of Tether Global Investments Fund, S.I.C.A.F., S.A., an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El Salvador entity, Tether Investments, S.A. de C.V., an El Salvador entity ("Tether Investments") and Giancarlo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Devasini that was originally filed with the Securities and Exchange Commission (the "SEC") on October 24, 2025 (as amended, the "Schedule 13D") with respect to the Class A Ordinary Shares, par value $0.001 per share ("Ordinary Shares") of Antalpha Platform Holding Company, a company incorporated in the Cayman Islands (the "Issuer"). This amendment to the Schedule 13D is being filed by Tether Global Investments Fund, S.I.C.A.F., S.A., Tether International, S.A. de C.V., an El Salvador entity, Tether Investments, and Giancarlo Devasini (collectively, the "Reporting Persons") and constitutes Amendment No. 1 to the Schedule 13D. Capitalized terms used but not defined herein have the meanings given to such terms in the Schedule 13D. Except as set forth herein, the Schedule 13D is</w:t>
      </w:r>
    </w:p>
    <w:p>
      <w:pPr>
        <w:spacing w:after="0" w:line="1" w:lineRule="exact"/>
        <w:rPr>
          <w:sz w:val="20"/>
          <w:szCs w:val="20"/>
          <w:color w:val="auto"/>
        </w:rPr>
      </w:pPr>
    </w:p>
    <w:p>
      <w:pPr>
        <w:jc w:val="center"/>
        <w:ind w:right="8180"/>
        <w:spacing w:after="0"/>
        <w:rPr>
          <w:sz w:val="20"/>
          <w:szCs w:val="20"/>
          <w:color w:val="auto"/>
        </w:rPr>
      </w:pPr>
      <w:r>
        <w:rPr>
          <w:rFonts w:ascii="Times New Roman" w:cs="Times New Roman" w:eastAsia="Times New Roman" w:hAnsi="Times New Roman"/>
          <w:sz w:val="22"/>
          <w:szCs w:val="22"/>
          <w:color w:val="auto"/>
        </w:rPr>
        <w:t>unmodified.</w:t>
      </w:r>
    </w:p>
    <w:p>
      <w:pPr>
        <w:spacing w:after="0" w:line="20" w:lineRule="exact"/>
        <w:rPr>
          <w:sz w:val="20"/>
          <w:szCs w:val="20"/>
          <w:color w:val="auto"/>
        </w:rPr>
      </w:pPr>
    </w:p>
    <w:p>
      <w:pPr>
        <w:jc w:val="center"/>
        <w:ind w:right="8240"/>
        <w:spacing w:after="0"/>
        <w:tabs>
          <w:tab w:leader="none" w:pos="28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200"/>
        <w:spacing w:after="0" w:line="244" w:lineRule="auto"/>
        <w:rPr>
          <w:sz w:val="20"/>
          <w:szCs w:val="20"/>
          <w:color w:val="auto"/>
        </w:rPr>
      </w:pPr>
      <w:r>
        <w:rPr>
          <w:rFonts w:ascii="Times New Roman" w:cs="Times New Roman" w:eastAsia="Times New Roman" w:hAnsi="Times New Roman"/>
          <w:sz w:val="22"/>
          <w:szCs w:val="22"/>
          <w:color w:val="auto"/>
        </w:rPr>
        <w:t>Item 4 is hereby amended and supplemented to add the following: Effective on June 12, 2026, Tether Investments transferred 1,950,000 Ordinary Shares to Tether International, S.A. de C.V. (the "Transfer"). The Transfer resulted in no change in the aggregate number of Ordinary Shares beneficially owned by the Reporting Persons.</w:t>
      </w:r>
    </w:p>
    <w:p>
      <w:pPr>
        <w:spacing w:after="0" w:line="1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Reporting Persons beneficially own an aggregate of 1,950,000 Ordinary Shares, representing 8.1% of the</w:t>
      </w:r>
    </w:p>
    <w:p>
      <w:pPr>
        <w:spacing w:after="0" w:line="14" w:lineRule="exact"/>
        <w:rPr>
          <w:sz w:val="20"/>
          <w:szCs w:val="20"/>
          <w:color w:val="auto"/>
        </w:rPr>
      </w:pPr>
    </w:p>
    <w:p>
      <w:pPr>
        <w:ind w:left="960" w:right="320" w:hanging="912"/>
        <w:spacing w:after="0" w:line="184" w:lineRule="auto"/>
        <w:tabs>
          <w:tab w:leader="none" w:pos="960" w:val="left"/>
        </w:tabs>
        <w:numPr>
          <w:ilvl w:val="0"/>
          <w:numId w:val="9"/>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outstanding Ordinary Shares. This percentage is calculated based upon 23,980,257 Ordinary Shares outstanding December 31, 2025, as reported in the Issuer's Annual Report on Form 20-F filed with the Securities and Exchange Commission on April 14, 2026.</w:t>
      </w:r>
    </w:p>
    <w:p>
      <w:pPr>
        <w:spacing w:after="0" w:line="18" w:lineRule="exact"/>
        <w:rPr>
          <w:rFonts w:ascii="Times New Roman" w:cs="Times New Roman" w:eastAsia="Times New Roman" w:hAnsi="Times New Roman"/>
          <w:sz w:val="42"/>
          <w:szCs w:val="42"/>
          <w:color w:val="auto"/>
          <w:vertAlign w:val="subscript"/>
        </w:rPr>
      </w:pPr>
    </w:p>
    <w:p>
      <w:pPr>
        <w:ind w:left="960" w:right="26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Each of the Reporting Persons (other than Tether Investments) has shared voting and dispositive power with respect to the beneficially owned 1,950,000 Ordinary Shares.</w:t>
      </w:r>
    </w:p>
    <w:p>
      <w:pPr>
        <w:spacing w:after="0" w:line="17" w:lineRule="exact"/>
        <w:rPr>
          <w:rFonts w:ascii="Times New Roman" w:cs="Times New Roman" w:eastAsia="Times New Roman" w:hAnsi="Times New Roman"/>
          <w:sz w:val="39"/>
          <w:szCs w:val="39"/>
          <w:color w:val="auto"/>
          <w:vertAlign w:val="subscript"/>
        </w:rPr>
      </w:pPr>
    </w:p>
    <w:p>
      <w:pPr>
        <w:ind w:left="960" w:right="60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for the Transfer, no transactions in the Ordinary Shares were effected by the Reporting Persons since the Reporting Persons' in the last 60 days.</w:t>
      </w:r>
    </w:p>
    <w:p>
      <w:pPr>
        <w:spacing w:after="0" w:line="17" w:lineRule="exact"/>
        <w:rPr>
          <w:rFonts w:ascii="Times New Roman" w:cs="Times New Roman" w:eastAsia="Times New Roman" w:hAnsi="Times New Roman"/>
          <w:sz w:val="39"/>
          <w:szCs w:val="39"/>
          <w:color w:val="auto"/>
          <w:vertAlign w:val="subscript"/>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60" w:right="640"/>
        <w:spacing w:after="0" w:line="258" w:lineRule="auto"/>
        <w:rPr>
          <w:sz w:val="20"/>
          <w:szCs w:val="20"/>
          <w:color w:val="auto"/>
        </w:rPr>
      </w:pPr>
      <w:r>
        <w:rPr>
          <w:rFonts w:ascii="Times New Roman" w:cs="Times New Roman" w:eastAsia="Times New Roman" w:hAnsi="Times New Roman"/>
          <w:sz w:val="22"/>
          <w:szCs w:val="22"/>
          <w:color w:val="auto"/>
        </w:rPr>
        <w:t>Schedule A - Executive Officers and Directors Exhibit 1 - Agreement of filing persons relating to filing of joint statement per Rule 13d-1(k).</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240"/>
          </w:cols>
          <w:pgMar w:left="320" w:top="355" w:right="339" w:bottom="0" w:gutter="0" w:footer="0" w:header="0"/>
        </w:sectPr>
      </w:pPr>
    </w:p>
    <w:bookmarkStart w:id="5" w:name="page6"/>
    <w:bookmarkEnd w:id="5"/>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Tether Global Investments Fund, S.I.C.A.F., S.A.</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Omar Rossi</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Omar Rossi, Sole Administrator</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Tether Investments, S.A. de C.V.</w:t>
      </w:r>
    </w:p>
    <w:p>
      <w:pPr>
        <w:spacing w:after="0" w:line="152"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Giancarlo Devasini</w:t>
      </w:r>
    </w:p>
    <w:p>
      <w:pPr>
        <w:spacing w:after="0" w:line="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Name/Title: Giancarlo Devasini, Sole Administrator</w:t>
      </w:r>
    </w:p>
    <w:p>
      <w:pPr>
        <w:spacing w:after="0" w:line="44"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Tether International, S.A. de C.V.</w:t>
      </w:r>
    </w:p>
    <w:p>
      <w:pPr>
        <w:spacing w:after="0" w:line="152"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Giancarlo Devasini</w:t>
      </w:r>
    </w:p>
    <w:p>
      <w:pPr>
        <w:spacing w:after="0" w:line="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Name/Title: Giancarlo Devasini, Sole Administrator</w:t>
      </w:r>
    </w:p>
    <w:p>
      <w:pPr>
        <w:spacing w:after="0" w:line="44"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Giancarlo Devasini</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Giancarlo Devasini</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Giancarlo Devasini, individually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ectPr>
          <w:pgSz w:w="11900" w:h="16838" w:orient="portrait"/>
          <w:cols w:equalWidth="0" w:num="1">
            <w:col w:w="10060"/>
          </w:cols>
          <w:pgMar w:left="1440" w:top="111" w:right="399" w:bottom="1440" w:gutter="0" w:footer="0" w:header="0"/>
        </w:sectPr>
      </w:pPr>
    </w:p>
    <w:bookmarkStart w:id="6" w:name="page7"/>
    <w:bookmarkEnd w:id="6"/>
    <w:p>
      <w:pPr>
        <w:ind w:left="10380"/>
        <w:spacing w:after="0"/>
        <w:rPr>
          <w:sz w:val="20"/>
          <w:szCs w:val="20"/>
          <w:color w:val="auto"/>
        </w:rPr>
      </w:pPr>
      <w:r>
        <w:rPr>
          <w:rFonts w:ascii="Times New Roman" w:cs="Times New Roman" w:eastAsia="Times New Roman" w:hAnsi="Times New Roman"/>
          <w:sz w:val="17"/>
          <w:szCs w:val="17"/>
          <w:b w:val="1"/>
          <w:bCs w:val="1"/>
          <w:color w:val="auto"/>
        </w:rPr>
        <w:t>Schedule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sets forth the name, country of citizenship, position and principal occupation of each executive officer and member of the board of directors of Tether Global Investments Fund, S.I.C.A.F., S.A. Tether International, S.A. de C.V. and Tether Investments, S.A. de C.V. Except as indicated below, none of the persons listed below has been convicted of a crime (other than traffic violations or similar misdemeanors) or been subject to proceedings pertaining to violations of securities laws within the past 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and Directors of Tether Global Investments Fund, S.I.C.A.F., S.A.</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20" w:type="dxa"/>
            <w:vAlign w:val="bottom"/>
            <w:tcBorders>
              <w:top w:val="single" w:sz="8" w:color="auto"/>
              <w:left w:val="single" w:sz="8" w:color="auto"/>
            </w:tcBorders>
          </w:tcPr>
          <w:p>
            <w:pPr>
              <w:spacing w:after="0"/>
              <w:rPr>
                <w:sz w:val="23"/>
                <w:szCs w:val="23"/>
                <w:color w:val="auto"/>
              </w:rPr>
            </w:pPr>
          </w:p>
        </w:tc>
        <w:tc>
          <w:tcPr>
            <w:tcW w:w="328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Citizenship</w:t>
            </w:r>
          </w:p>
        </w:tc>
        <w:tc>
          <w:tcPr>
            <w:tcW w:w="80" w:type="dxa"/>
            <w:vAlign w:val="bottom"/>
            <w:tcBorders>
              <w:top w:val="single" w:sz="8" w:color="auto"/>
            </w:tcBorders>
          </w:tcPr>
          <w:p>
            <w:pPr>
              <w:spacing w:after="0"/>
              <w:rPr>
                <w:sz w:val="23"/>
                <w:szCs w:val="23"/>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Position and Principal</w:t>
            </w:r>
          </w:p>
        </w:tc>
        <w:tc>
          <w:tcPr>
            <w:tcW w:w="460" w:type="dxa"/>
            <w:vAlign w:val="bottom"/>
            <w:tcBorders>
              <w:top w:val="single" w:sz="8" w:color="auto"/>
              <w:right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60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Beneficial</w:t>
            </w:r>
          </w:p>
        </w:tc>
        <w:tc>
          <w:tcPr>
            <w:tcW w:w="3900" w:type="dxa"/>
            <w:vAlign w:val="bottom"/>
            <w:tcBorders>
              <w:top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280" w:type="dxa"/>
            <w:vAlign w:val="bottom"/>
            <w:tcBorders>
              <w:right w:val="single" w:sz="8" w:color="auto"/>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390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328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Occupation</w:t>
            </w:r>
          </w:p>
        </w:tc>
        <w:tc>
          <w:tcPr>
            <w:tcW w:w="460" w:type="dxa"/>
            <w:vAlign w:val="bottom"/>
            <w:tcBorders>
              <w:right w:val="single" w:sz="8" w:color="auto"/>
            </w:tcBorders>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1600" w:type="dxa"/>
            <w:vAlign w:val="bottom"/>
            <w:tcBorders>
              <w:right w:val="single" w:sz="8" w:color="auto"/>
            </w:tcBorders>
            <w:gridSpan w:val="3"/>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390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1700" w:type="dxa"/>
            <w:vAlign w:val="bottom"/>
            <w:tcBorders>
              <w:top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460" w:type="dxa"/>
            <w:vAlign w:val="bottom"/>
            <w:tcBorders>
              <w:right w:val="single" w:sz="8" w:color="auto"/>
            </w:tcBorders>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600" w:type="dxa"/>
            <w:vAlign w:val="bottom"/>
            <w:tcBorders>
              <w:right w:val="single" w:sz="8" w:color="auto"/>
            </w:tcBorders>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20" w:type="dxa"/>
            <w:vAlign w:val="bottom"/>
            <w:tcBorders>
              <w:left w:val="single" w:sz="8" w:color="auto"/>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top w:val="single" w:sz="8" w:color="auto"/>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2"/>
        </w:trPr>
        <w:tc>
          <w:tcPr>
            <w:tcW w:w="120" w:type="dxa"/>
            <w:vAlign w:val="bottom"/>
            <w:tcBorders>
              <w:left w:val="single" w:sz="8" w:color="auto"/>
            </w:tcBorders>
          </w:tcPr>
          <w:p>
            <w:pPr>
              <w:spacing w:after="0"/>
              <w:rPr>
                <w:sz w:val="23"/>
                <w:szCs w:val="23"/>
                <w:color w:val="auto"/>
              </w:rPr>
            </w:pPr>
          </w:p>
        </w:tc>
        <w:tc>
          <w:tcPr>
            <w:tcW w:w="32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Omar Rossi, citizen of Switzerland</w:t>
            </w:r>
          </w:p>
        </w:tc>
        <w:tc>
          <w:tcPr>
            <w:tcW w:w="80" w:type="dxa"/>
            <w:vAlign w:val="bottom"/>
          </w:tcPr>
          <w:p>
            <w:pPr>
              <w:spacing w:after="0"/>
              <w:rPr>
                <w:sz w:val="23"/>
                <w:szCs w:val="23"/>
                <w:color w:val="auto"/>
              </w:rPr>
            </w:pPr>
          </w:p>
        </w:tc>
        <w:tc>
          <w:tcPr>
            <w:tcW w:w="2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Sole Administrator</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Final Av. La Revolucion, Colonia San Benito, Edif.</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Centro, Corporativo Presidente Plaza, Nivel 12,</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Oficina 2, Distrito de San Salvador, Municipio de</w:t>
            </w:r>
          </w:p>
        </w:tc>
        <w:tc>
          <w:tcPr>
            <w:tcW w:w="0" w:type="dxa"/>
            <w:vAlign w:val="bottom"/>
          </w:tcPr>
          <w:p>
            <w:pPr>
              <w:spacing w:after="0"/>
              <w:rPr>
                <w:sz w:val="1"/>
                <w:szCs w:val="1"/>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San Salvador Centro, Republica de El Salvador</w:t>
            </w:r>
          </w:p>
        </w:tc>
        <w:tc>
          <w:tcPr>
            <w:tcW w:w="0" w:type="dxa"/>
            <w:vAlign w:val="bottom"/>
          </w:tcPr>
          <w:p>
            <w:pPr>
              <w:spacing w:after="0"/>
              <w:rPr>
                <w:sz w:val="1"/>
                <w:szCs w:val="1"/>
                <w:color w:val="auto"/>
              </w:rPr>
            </w:pPr>
          </w:p>
        </w:tc>
      </w:tr>
      <w:tr>
        <w:trPr>
          <w:trHeight w:val="81"/>
        </w:trPr>
        <w:tc>
          <w:tcPr>
            <w:tcW w:w="120" w:type="dxa"/>
            <w:vAlign w:val="bottom"/>
            <w:tcBorders>
              <w:left w:val="single" w:sz="8" w:color="auto"/>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8"/>
        </w:trPr>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 of Tether International, S.A. de C.V.</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20" w:type="dxa"/>
            <w:vAlign w:val="bottom"/>
            <w:tcBorders>
              <w:top w:val="single" w:sz="8" w:color="auto"/>
              <w:left w:val="single" w:sz="8" w:color="auto"/>
            </w:tcBorders>
          </w:tcPr>
          <w:p>
            <w:pPr>
              <w:spacing w:after="0"/>
              <w:rPr>
                <w:sz w:val="23"/>
                <w:szCs w:val="23"/>
                <w:color w:val="auto"/>
              </w:rPr>
            </w:pPr>
          </w:p>
        </w:tc>
        <w:tc>
          <w:tcPr>
            <w:tcW w:w="328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Citizenship</w:t>
            </w:r>
          </w:p>
        </w:tc>
        <w:tc>
          <w:tcPr>
            <w:tcW w:w="80" w:type="dxa"/>
            <w:vAlign w:val="bottom"/>
            <w:tcBorders>
              <w:top w:val="single" w:sz="8" w:color="auto"/>
            </w:tcBorders>
          </w:tcPr>
          <w:p>
            <w:pPr>
              <w:spacing w:after="0"/>
              <w:rPr>
                <w:sz w:val="23"/>
                <w:szCs w:val="23"/>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Position and Principal</w:t>
            </w:r>
          </w:p>
        </w:tc>
        <w:tc>
          <w:tcPr>
            <w:tcW w:w="460" w:type="dxa"/>
            <w:vAlign w:val="bottom"/>
            <w:tcBorders>
              <w:top w:val="single" w:sz="8" w:color="auto"/>
              <w:right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60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Beneficial</w:t>
            </w:r>
          </w:p>
        </w:tc>
        <w:tc>
          <w:tcPr>
            <w:tcW w:w="3900" w:type="dxa"/>
            <w:vAlign w:val="bottom"/>
            <w:tcBorders>
              <w:top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280" w:type="dxa"/>
            <w:vAlign w:val="bottom"/>
            <w:tcBorders>
              <w:right w:val="single" w:sz="8" w:color="auto"/>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390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328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Occupation</w:t>
            </w:r>
          </w:p>
        </w:tc>
        <w:tc>
          <w:tcPr>
            <w:tcW w:w="460" w:type="dxa"/>
            <w:vAlign w:val="bottom"/>
            <w:tcBorders>
              <w:right w:val="single" w:sz="8" w:color="auto"/>
            </w:tcBorders>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1600" w:type="dxa"/>
            <w:vAlign w:val="bottom"/>
            <w:tcBorders>
              <w:right w:val="single" w:sz="8" w:color="auto"/>
            </w:tcBorders>
            <w:gridSpan w:val="3"/>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390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1700" w:type="dxa"/>
            <w:vAlign w:val="bottom"/>
            <w:tcBorders>
              <w:top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460" w:type="dxa"/>
            <w:vAlign w:val="bottom"/>
            <w:tcBorders>
              <w:right w:val="single" w:sz="8" w:color="auto"/>
            </w:tcBorders>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600" w:type="dxa"/>
            <w:vAlign w:val="bottom"/>
            <w:tcBorders>
              <w:right w:val="single" w:sz="8" w:color="auto"/>
            </w:tcBorders>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20" w:type="dxa"/>
            <w:vAlign w:val="bottom"/>
            <w:tcBorders>
              <w:left w:val="single" w:sz="8" w:color="auto"/>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top w:val="single" w:sz="8" w:color="auto"/>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20" w:type="dxa"/>
            <w:vAlign w:val="bottom"/>
            <w:tcBorders>
              <w:left w:val="single" w:sz="8" w:color="auto"/>
            </w:tcBorders>
          </w:tcPr>
          <w:p>
            <w:pPr>
              <w:spacing w:after="0"/>
              <w:rPr>
                <w:sz w:val="24"/>
                <w:szCs w:val="24"/>
                <w:color w:val="auto"/>
              </w:rPr>
            </w:pPr>
          </w:p>
        </w:tc>
        <w:tc>
          <w:tcPr>
            <w:tcW w:w="32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Giancarlo Devasini, citizen of Italy</w:t>
            </w:r>
          </w:p>
        </w:tc>
        <w:tc>
          <w:tcPr>
            <w:tcW w:w="80" w:type="dxa"/>
            <w:vAlign w:val="bottom"/>
          </w:tcPr>
          <w:p>
            <w:pPr>
              <w:spacing w:after="0"/>
              <w:rPr>
                <w:sz w:val="24"/>
                <w:szCs w:val="24"/>
                <w:color w:val="auto"/>
              </w:rPr>
            </w:pPr>
          </w:p>
        </w:tc>
        <w:tc>
          <w:tcPr>
            <w:tcW w:w="2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Sole Administrator</w:t>
            </w:r>
          </w:p>
        </w:tc>
        <w:tc>
          <w:tcPr>
            <w:tcW w:w="1680" w:type="dxa"/>
            <w:vAlign w:val="bottom"/>
            <w:tcBorders>
              <w:right w:val="single" w:sz="8" w:color="auto"/>
            </w:tcBorders>
            <w:gridSpan w:val="4"/>
          </w:tcPr>
          <w:p>
            <w:pPr>
              <w:ind w:left="80"/>
              <w:spacing w:after="0" w:line="277" w:lineRule="exact"/>
              <w:rPr>
                <w:sz w:val="20"/>
                <w:szCs w:val="20"/>
                <w:color w:val="auto"/>
              </w:rPr>
            </w:pPr>
            <w:r>
              <w:rPr>
                <w:rFonts w:ascii="Times New Roman" w:cs="Times New Roman" w:eastAsia="Times New Roman" w:hAnsi="Times New Roman"/>
                <w:sz w:val="18"/>
                <w:szCs w:val="18"/>
                <w:color w:val="auto"/>
              </w:rPr>
              <w:t xml:space="preserve">1,950,000 </w:t>
            </w:r>
            <w:r>
              <w:rPr>
                <w:rFonts w:ascii="Times New Roman" w:cs="Times New Roman" w:eastAsia="Times New Roman" w:hAnsi="Times New Roman"/>
                <w:sz w:val="29"/>
                <w:szCs w:val="29"/>
                <w:color w:val="auto"/>
                <w:vertAlign w:val="superscript"/>
              </w:rPr>
              <w:t>(1)</w:t>
            </w: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Final Av. La Revolucion, Colonia San Benito, Edif.</w:t>
            </w:r>
          </w:p>
        </w:tc>
        <w:tc>
          <w:tcPr>
            <w:tcW w:w="0" w:type="dxa"/>
            <w:vAlign w:val="bottom"/>
          </w:tcPr>
          <w:p>
            <w:pPr>
              <w:spacing w:after="0"/>
              <w:rPr>
                <w:sz w:val="1"/>
                <w:szCs w:val="1"/>
                <w:color w:val="auto"/>
              </w:rPr>
            </w:pPr>
          </w:p>
        </w:tc>
      </w:tr>
      <w:tr>
        <w:trPr>
          <w:trHeight w:val="211"/>
        </w:trPr>
        <w:tc>
          <w:tcPr>
            <w:tcW w:w="12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Centro, Corporativo Presidente Plaza, Nivel 12,</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Oficina 2, Distrito de San Salvador, Municipio de</w:t>
            </w:r>
          </w:p>
        </w:tc>
        <w:tc>
          <w:tcPr>
            <w:tcW w:w="0" w:type="dxa"/>
            <w:vAlign w:val="bottom"/>
          </w:tcPr>
          <w:p>
            <w:pPr>
              <w:spacing w:after="0"/>
              <w:rPr>
                <w:sz w:val="1"/>
                <w:szCs w:val="1"/>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San Salvador Centro, Republica de El Salvador</w:t>
            </w:r>
          </w:p>
        </w:tc>
        <w:tc>
          <w:tcPr>
            <w:tcW w:w="0" w:type="dxa"/>
            <w:vAlign w:val="bottom"/>
          </w:tcPr>
          <w:p>
            <w:pPr>
              <w:spacing w:after="0"/>
              <w:rPr>
                <w:sz w:val="1"/>
                <w:szCs w:val="1"/>
                <w:color w:val="auto"/>
              </w:rPr>
            </w:pPr>
          </w:p>
        </w:tc>
      </w:tr>
      <w:tr>
        <w:trPr>
          <w:trHeight w:val="81"/>
        </w:trPr>
        <w:tc>
          <w:tcPr>
            <w:tcW w:w="120" w:type="dxa"/>
            <w:vAlign w:val="bottom"/>
            <w:tcBorders>
              <w:left w:val="single" w:sz="8" w:color="auto"/>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120" w:type="dxa"/>
            <w:vAlign w:val="bottom"/>
            <w:tcBorders>
              <w:left w:val="single" w:sz="8" w:color="auto"/>
            </w:tcBorders>
          </w:tcPr>
          <w:p>
            <w:pPr>
              <w:spacing w:after="0"/>
              <w:rPr>
                <w:sz w:val="23"/>
                <w:szCs w:val="23"/>
                <w:color w:val="auto"/>
              </w:rPr>
            </w:pPr>
          </w:p>
        </w:tc>
        <w:tc>
          <w:tcPr>
            <w:tcW w:w="32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Paolo Ardoino, citizen of Italy</w:t>
            </w:r>
          </w:p>
        </w:tc>
        <w:tc>
          <w:tcPr>
            <w:tcW w:w="80" w:type="dxa"/>
            <w:vAlign w:val="bottom"/>
          </w:tcPr>
          <w:p>
            <w:pPr>
              <w:spacing w:after="0"/>
              <w:rPr>
                <w:sz w:val="23"/>
                <w:szCs w:val="23"/>
                <w:color w:val="auto"/>
              </w:rPr>
            </w:pPr>
          </w:p>
        </w:tc>
        <w:tc>
          <w:tcPr>
            <w:tcW w:w="2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Alternate Administrator</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Final Av. La Revolucion, Colonia San Benito, Edif.</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Centro, Corporativo Presidente Plaza, Nivel 12,</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Oficina 2, Distrito de San Salvador, Municipio de</w:t>
            </w:r>
          </w:p>
        </w:tc>
        <w:tc>
          <w:tcPr>
            <w:tcW w:w="0" w:type="dxa"/>
            <w:vAlign w:val="bottom"/>
          </w:tcPr>
          <w:p>
            <w:pPr>
              <w:spacing w:after="0"/>
              <w:rPr>
                <w:sz w:val="1"/>
                <w:szCs w:val="1"/>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San Salvador Centro, Republica de El Salvador</w:t>
            </w:r>
          </w:p>
        </w:tc>
        <w:tc>
          <w:tcPr>
            <w:tcW w:w="0" w:type="dxa"/>
            <w:vAlign w:val="bottom"/>
          </w:tcPr>
          <w:p>
            <w:pPr>
              <w:spacing w:after="0"/>
              <w:rPr>
                <w:sz w:val="1"/>
                <w:szCs w:val="1"/>
                <w:color w:val="auto"/>
              </w:rPr>
            </w:pPr>
          </w:p>
        </w:tc>
      </w:tr>
      <w:tr>
        <w:trPr>
          <w:trHeight w:val="81"/>
        </w:trPr>
        <w:tc>
          <w:tcPr>
            <w:tcW w:w="120" w:type="dxa"/>
            <w:vAlign w:val="bottom"/>
            <w:tcBorders>
              <w:left w:val="single" w:sz="8" w:color="auto"/>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68"/>
        </w:trPr>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and Directors of Tether Investments, S.A. de C.V.:</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20" w:type="dxa"/>
            <w:vAlign w:val="bottom"/>
            <w:tcBorders>
              <w:top w:val="single" w:sz="8" w:color="auto"/>
              <w:left w:val="single" w:sz="8" w:color="auto"/>
            </w:tcBorders>
          </w:tcPr>
          <w:p>
            <w:pPr>
              <w:spacing w:after="0"/>
              <w:rPr>
                <w:sz w:val="23"/>
                <w:szCs w:val="23"/>
                <w:color w:val="auto"/>
              </w:rPr>
            </w:pPr>
          </w:p>
        </w:tc>
        <w:tc>
          <w:tcPr>
            <w:tcW w:w="3280" w:type="dxa"/>
            <w:vAlign w:val="bottom"/>
            <w:tcBorders>
              <w:top w:val="single" w:sz="8" w:color="auto"/>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Citizenship</w:t>
            </w:r>
          </w:p>
        </w:tc>
        <w:tc>
          <w:tcPr>
            <w:tcW w:w="80" w:type="dxa"/>
            <w:vAlign w:val="bottom"/>
            <w:tcBorders>
              <w:top w:val="single" w:sz="8" w:color="auto"/>
            </w:tcBorders>
          </w:tcPr>
          <w:p>
            <w:pPr>
              <w:spacing w:after="0"/>
              <w:rPr>
                <w:sz w:val="23"/>
                <w:szCs w:val="23"/>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Position and Principal</w:t>
            </w:r>
          </w:p>
        </w:tc>
        <w:tc>
          <w:tcPr>
            <w:tcW w:w="460" w:type="dxa"/>
            <w:vAlign w:val="bottom"/>
            <w:tcBorders>
              <w:top w:val="single" w:sz="8" w:color="auto"/>
              <w:right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60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Beneficial</w:t>
            </w:r>
          </w:p>
        </w:tc>
        <w:tc>
          <w:tcPr>
            <w:tcW w:w="3900" w:type="dxa"/>
            <w:vAlign w:val="bottom"/>
            <w:tcBorders>
              <w:top w:val="single" w:sz="8" w:color="auto"/>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tcPr>
          <w:p>
            <w:pPr>
              <w:spacing w:after="0" w:line="20" w:lineRule="exact"/>
              <w:rPr>
                <w:sz w:val="1"/>
                <w:szCs w:val="1"/>
                <w:color w:val="auto"/>
              </w:rPr>
            </w:pPr>
          </w:p>
        </w:tc>
        <w:tc>
          <w:tcPr>
            <w:tcW w:w="3280" w:type="dxa"/>
            <w:vAlign w:val="bottom"/>
            <w:tcBorders>
              <w:right w:val="single" w:sz="8" w:color="auto"/>
            </w:tcBorders>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390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3280" w:type="dxa"/>
            <w:vAlign w:val="bottom"/>
            <w:tcBorders>
              <w:right w:val="single" w:sz="8" w:color="auto"/>
            </w:tcBorders>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Occupation</w:t>
            </w:r>
          </w:p>
        </w:tc>
        <w:tc>
          <w:tcPr>
            <w:tcW w:w="460" w:type="dxa"/>
            <w:vAlign w:val="bottom"/>
            <w:tcBorders>
              <w:right w:val="single" w:sz="8" w:color="auto"/>
            </w:tcBorders>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1600" w:type="dxa"/>
            <w:vAlign w:val="bottom"/>
            <w:tcBorders>
              <w:right w:val="single" w:sz="8" w:color="auto"/>
            </w:tcBorders>
            <w:gridSpan w:val="3"/>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390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 w:type="dxa"/>
            <w:vAlign w:val="bottom"/>
            <w:tcBorders>
              <w:left w:val="single" w:sz="8" w:color="auto"/>
            </w:tcBorders>
          </w:tcPr>
          <w:p>
            <w:pPr>
              <w:spacing w:after="0"/>
              <w:rPr>
                <w:sz w:val="7"/>
                <w:szCs w:val="7"/>
                <w:color w:val="auto"/>
              </w:rPr>
            </w:pPr>
          </w:p>
        </w:tc>
        <w:tc>
          <w:tcPr>
            <w:tcW w:w="1700" w:type="dxa"/>
            <w:vAlign w:val="bottom"/>
            <w:tcBorders>
              <w:top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460" w:type="dxa"/>
            <w:vAlign w:val="bottom"/>
            <w:tcBorders>
              <w:right w:val="single" w:sz="8" w:color="auto"/>
            </w:tcBorders>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600" w:type="dxa"/>
            <w:vAlign w:val="bottom"/>
            <w:tcBorders>
              <w:right w:val="single" w:sz="8" w:color="auto"/>
            </w:tcBorders>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25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20" w:type="dxa"/>
            <w:vAlign w:val="bottom"/>
            <w:tcBorders>
              <w:left w:val="single" w:sz="8" w:color="auto"/>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58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top w:val="single" w:sz="8" w:color="auto"/>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5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20" w:type="dxa"/>
            <w:vAlign w:val="bottom"/>
            <w:tcBorders>
              <w:left w:val="single" w:sz="8" w:color="auto"/>
            </w:tcBorders>
          </w:tcPr>
          <w:p>
            <w:pPr>
              <w:spacing w:after="0"/>
              <w:rPr>
                <w:sz w:val="24"/>
                <w:szCs w:val="24"/>
                <w:color w:val="auto"/>
              </w:rPr>
            </w:pPr>
          </w:p>
        </w:tc>
        <w:tc>
          <w:tcPr>
            <w:tcW w:w="32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Giancarlo Devasini, citizen of Italy</w:t>
            </w:r>
          </w:p>
        </w:tc>
        <w:tc>
          <w:tcPr>
            <w:tcW w:w="80" w:type="dxa"/>
            <w:vAlign w:val="bottom"/>
          </w:tcPr>
          <w:p>
            <w:pPr>
              <w:spacing w:after="0"/>
              <w:rPr>
                <w:sz w:val="24"/>
                <w:szCs w:val="24"/>
                <w:color w:val="auto"/>
              </w:rPr>
            </w:pPr>
          </w:p>
        </w:tc>
        <w:tc>
          <w:tcPr>
            <w:tcW w:w="2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Sole Administrator</w:t>
            </w:r>
          </w:p>
        </w:tc>
        <w:tc>
          <w:tcPr>
            <w:tcW w:w="1680" w:type="dxa"/>
            <w:vAlign w:val="bottom"/>
            <w:tcBorders>
              <w:right w:val="single" w:sz="8" w:color="auto"/>
            </w:tcBorders>
            <w:gridSpan w:val="4"/>
          </w:tcPr>
          <w:p>
            <w:pPr>
              <w:ind w:left="80"/>
              <w:spacing w:after="0" w:line="277" w:lineRule="exact"/>
              <w:rPr>
                <w:sz w:val="20"/>
                <w:szCs w:val="20"/>
                <w:color w:val="auto"/>
              </w:rPr>
            </w:pPr>
            <w:r>
              <w:rPr>
                <w:rFonts w:ascii="Times New Roman" w:cs="Times New Roman" w:eastAsia="Times New Roman" w:hAnsi="Times New Roman"/>
                <w:sz w:val="18"/>
                <w:szCs w:val="18"/>
                <w:color w:val="auto"/>
              </w:rPr>
              <w:t xml:space="preserve">1,950,000 </w:t>
            </w:r>
            <w:r>
              <w:rPr>
                <w:rFonts w:ascii="Times New Roman" w:cs="Times New Roman" w:eastAsia="Times New Roman" w:hAnsi="Times New Roman"/>
                <w:sz w:val="29"/>
                <w:szCs w:val="29"/>
                <w:color w:val="auto"/>
                <w:vertAlign w:val="superscript"/>
              </w:rPr>
              <w:t>(1)</w:t>
            </w: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Final Av. La Revolucion, Colonia San Benito, Edif.</w:t>
            </w:r>
          </w:p>
        </w:tc>
        <w:tc>
          <w:tcPr>
            <w:tcW w:w="0" w:type="dxa"/>
            <w:vAlign w:val="bottom"/>
          </w:tcPr>
          <w:p>
            <w:pPr>
              <w:spacing w:after="0"/>
              <w:rPr>
                <w:sz w:val="1"/>
                <w:szCs w:val="1"/>
                <w:color w:val="auto"/>
              </w:rPr>
            </w:pPr>
          </w:p>
        </w:tc>
      </w:tr>
      <w:tr>
        <w:trPr>
          <w:trHeight w:val="211"/>
        </w:trPr>
        <w:tc>
          <w:tcPr>
            <w:tcW w:w="12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Centro, Corporativo Presidente Plaza, Nivel 12,</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Oficina 2, Distrito de San Salvador, Municipio de</w:t>
            </w:r>
          </w:p>
        </w:tc>
        <w:tc>
          <w:tcPr>
            <w:tcW w:w="0" w:type="dxa"/>
            <w:vAlign w:val="bottom"/>
          </w:tcPr>
          <w:p>
            <w:pPr>
              <w:spacing w:after="0"/>
              <w:rPr>
                <w:sz w:val="1"/>
                <w:szCs w:val="1"/>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San Salvador Centro, Republica de El Salvador</w:t>
            </w:r>
          </w:p>
        </w:tc>
        <w:tc>
          <w:tcPr>
            <w:tcW w:w="0" w:type="dxa"/>
            <w:vAlign w:val="bottom"/>
          </w:tcPr>
          <w:p>
            <w:pPr>
              <w:spacing w:after="0"/>
              <w:rPr>
                <w:sz w:val="1"/>
                <w:szCs w:val="1"/>
                <w:color w:val="auto"/>
              </w:rPr>
            </w:pPr>
          </w:p>
        </w:tc>
      </w:tr>
      <w:tr>
        <w:trPr>
          <w:trHeight w:val="81"/>
        </w:trPr>
        <w:tc>
          <w:tcPr>
            <w:tcW w:w="120" w:type="dxa"/>
            <w:vAlign w:val="bottom"/>
            <w:tcBorders>
              <w:left w:val="single" w:sz="8" w:color="auto"/>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2"/>
        </w:trPr>
        <w:tc>
          <w:tcPr>
            <w:tcW w:w="120" w:type="dxa"/>
            <w:vAlign w:val="bottom"/>
            <w:tcBorders>
              <w:left w:val="single" w:sz="8" w:color="auto"/>
            </w:tcBorders>
          </w:tcPr>
          <w:p>
            <w:pPr>
              <w:spacing w:after="0"/>
              <w:rPr>
                <w:sz w:val="23"/>
                <w:szCs w:val="23"/>
                <w:color w:val="auto"/>
              </w:rPr>
            </w:pPr>
          </w:p>
        </w:tc>
        <w:tc>
          <w:tcPr>
            <w:tcW w:w="32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Paolo Ardoino, citizen of Italy</w:t>
            </w:r>
          </w:p>
        </w:tc>
        <w:tc>
          <w:tcPr>
            <w:tcW w:w="80" w:type="dxa"/>
            <w:vAlign w:val="bottom"/>
          </w:tcPr>
          <w:p>
            <w:pPr>
              <w:spacing w:after="0"/>
              <w:rPr>
                <w:sz w:val="23"/>
                <w:szCs w:val="23"/>
                <w:color w:val="auto"/>
              </w:rPr>
            </w:pPr>
          </w:p>
        </w:tc>
        <w:tc>
          <w:tcPr>
            <w:tcW w:w="2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Alternate Administrator</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3"/>
                <w:szCs w:val="23"/>
                <w:color w:val="auto"/>
              </w:rPr>
            </w:pPr>
          </w:p>
        </w:tc>
        <w:tc>
          <w:tcPr>
            <w:tcW w:w="740" w:type="dxa"/>
            <w:vAlign w:val="bottom"/>
            <w:tcBorders>
              <w:right w:val="single" w:sz="8" w:color="auto"/>
            </w:tcBorders>
          </w:tcPr>
          <w:p>
            <w:pPr>
              <w:spacing w:after="0"/>
              <w:rPr>
                <w:sz w:val="23"/>
                <w:szCs w:val="23"/>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Final Av. La Revolucion, Colonia San Benito, Edif.</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Centro, Corporativo Presidente Plaza, Nivel 12,</w:t>
            </w: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Oficina 2, Distrito de San Salvador, Municipio de</w:t>
            </w:r>
          </w:p>
        </w:tc>
        <w:tc>
          <w:tcPr>
            <w:tcW w:w="0" w:type="dxa"/>
            <w:vAlign w:val="bottom"/>
          </w:tcPr>
          <w:p>
            <w:pPr>
              <w:spacing w:after="0"/>
              <w:rPr>
                <w:sz w:val="1"/>
                <w:szCs w:val="1"/>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170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9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San Salvador Centro, Republica de El Salvador</w:t>
            </w:r>
          </w:p>
        </w:tc>
        <w:tc>
          <w:tcPr>
            <w:tcW w:w="0" w:type="dxa"/>
            <w:vAlign w:val="bottom"/>
          </w:tcPr>
          <w:p>
            <w:pPr>
              <w:spacing w:after="0"/>
              <w:rPr>
                <w:sz w:val="1"/>
                <w:szCs w:val="1"/>
                <w:color w:val="auto"/>
              </w:rPr>
            </w:pPr>
          </w:p>
        </w:tc>
      </w:tr>
      <w:tr>
        <w:trPr>
          <w:trHeight w:val="81"/>
        </w:trPr>
        <w:tc>
          <w:tcPr>
            <w:tcW w:w="120" w:type="dxa"/>
            <w:vAlign w:val="bottom"/>
            <w:tcBorders>
              <w:left w:val="single" w:sz="8" w:color="auto"/>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1,950,000 Class A Ordinary Shares, par value $0.001 per share, of Antalpha Platform Holding Company held by Tether International, S.A. de C.V., a controlled subsidiary of Tether Global Investments Fund, S.I.C.A.F., S.A.</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2021, the U.S. Commodity Futures Trading Commission (CFTC) instituted and settled regulatory proceedings against Tether Global Investments Fund, S.I.C.A.F., S.A. (then Tether Holdings Limited), Tether Limited, Tether Operations Limited, and Tether International Limited (collectively, “Tether”) by way of an order accepting Tether’s payment of a civil monetary penalty of $41 million without admitting or denying any of the CFTC’s findings or conclusions. The order settled CFTC allegations that, from June 2016 to February 2019, Tether made untrue or misleading statements and omissions of material fact or omitted to state material facts necessary to make statements made not true or misleading in connection with, among other things, whether USDT was fully backed by U.S. Dollars held in bank accounts in Tether’s name.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2021, the Office of the Attorney General of the State of New York (NYAG) entered into an agreement with Tether and several Bitfinex (a group of companies with which Tether is affiliated) companies to settle a 2019 proceeding brought by NYAG seeking an injunction related to, among other things, the transfer of certain funds by and among Bitfinex and Tether. Without admitting or denying NYAG’s findings, Bitfinex and Tether agreed to settle the NYAG proceeding by paying $18.5 million in penalties to the State of New York. The agreement further required Bitfinex and Tether to discontinue any trading activity with New York persons or entities and to submit to mandatory reporting on certain business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each of the persons named below agrees to the joint filing of this Schedule 13D, including further amendments thereto, with respect to the Class A Ordinary Shares, par value $0.001 per share, of Antalpha Platform Holding Company held by and further agrees that this Joint Filing Agreement be filed with the Securities and Exchange Commission as an exhibit to such filing; provided, however, that no person shall be responsible for the completeness or accuracy of the information concerning the other persons making the filing unless such person knows or has reason to believe such information is inaccurate (as provided in Rule 13d-1(k)(1)(ii)). This Joint Filing Agreement may be executed in one or more counterparts, all of which together shall constitute one and the same instrument.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persons named below have executed this Joint Filing Agreement as of the date set forth below.</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June 16, 2026</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TETHER GLOBAL INVESTMENTS FUND, S.I.C.A.F., S.A.</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Omar Rossi</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Omar Rossi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Sole Administrator</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TETHER INVESTMENTS, S.A. DE C.V.</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Giancarlo Devasini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Giancarlo Devasini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Sole Administrator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TETHER INTERNATIONAL, S.A. DE C.V.</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Giancarlo Devasini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Giancarlo Devasini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Sole Administrator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Giancarlo Devasini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Giancarlo Devasini,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2"/>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2026-06-16T12:17:10Z</dcterms:created>
  <dcterms:modified xsi:type="dcterms:W3CDTF">2026-06-16T12:17:10Z</dcterms:modified>
</cp:coreProperties>
</file>