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center"/>
        <w:rPr>
          <w:bdr w:val="single" w:sz="20" w:space="1" w:color="000000"/>
        </w:rPr>
      </w:pPr>
      <w:bookmarkStart w:id="0" w:name="f6k_082026.htm"/>
      <w:bookmarkStart w:id="1" w:name="ksf6k_082026"/>
      <w:bookmarkEnd w:id="0"/>
      <w:bookmarkEnd w:id="1"/>
      <w:r>
        <w:rPr>
          <w:bdr w:val="single" w:sz="20" w:space="1" w:color="000000"/>
        </w:rPr>
        <w:t> </w:t>
      </w:r>
    </w:p>
    <w:p>
      <w:pPr>
        <w:pStyle w:val="TextBody"/>
        <w:bidi w:val="0"/>
        <w:jc w:val="center"/>
        <w:rPr/>
      </w:pPr>
      <w:r>
        <w:rPr>
          <w:rStyle w:val="StrongEmphasis"/>
          <w:sz w:val="28"/>
        </w:rPr>
        <w:t>UNITED STATES</w:t>
      </w:r>
      <w:r>
        <w:rPr>
          <w:sz w:val="28"/>
        </w:rPr>
        <w:br/>
      </w:r>
      <w:r>
        <w:rPr>
          <w:rStyle w:val="StrongEmphasis"/>
          <w:sz w:val="28"/>
        </w:rPr>
        <w:t>SECURITIES AND EXCHANGE COMMISSION</w:t>
      </w:r>
      <w:r>
        <w:rPr>
          <w:sz w:val="28"/>
        </w:rPr>
        <w:br/>
      </w:r>
      <w:r>
        <w:rPr>
          <w:rStyle w:val="StrongEmphasis"/>
          <w:sz w:val="28"/>
        </w:rPr>
        <w:t>Washington, D.C. 20549</w:t>
      </w:r>
    </w:p>
    <w:p>
      <w:pPr>
        <w:pStyle w:val="TextBody"/>
        <w:bidi w:val="0"/>
        <w:jc w:val="center"/>
        <w:rPr/>
      </w:pPr>
      <w:r>
        <w:rPr>
          <w:rStyle w:val="StrongEmphasis"/>
          <w:caps/>
          <w:sz w:val="28"/>
        </w:rPr>
        <w:t>Form 6-K</w:t>
      </w:r>
    </w:p>
    <w:p>
      <w:pPr>
        <w:pStyle w:val="TextBody"/>
        <w:bidi w:val="0"/>
        <w:jc w:val="center"/>
        <w:rPr/>
      </w:pPr>
      <w:r>
        <w:rPr>
          <w:rStyle w:val="StrongEmphasis"/>
        </w:rPr>
        <w:t>REPORT OF FOREIGN PRIVATE ISSUER PURSUANT TO RULE 13a-16 OR 15d-16 UNDER THE SECURITIES EXCHANGE ACT OF 1934</w:t>
      </w:r>
    </w:p>
    <w:p>
      <w:pPr>
        <w:pStyle w:val="TextBody"/>
        <w:bidi w:val="0"/>
        <w:jc w:val="center"/>
        <w:rPr/>
      </w:pPr>
      <w:r>
        <w:rPr>
          <w:rStyle w:val="StrongEmphasis"/>
        </w:rPr>
        <w:t>For the month of August 2026</w:t>
      </w:r>
    </w:p>
    <w:p>
      <w:pPr>
        <w:pStyle w:val="TextBody"/>
        <w:bidi w:val="0"/>
        <w:jc w:val="center"/>
        <w:rPr/>
      </w:pPr>
      <w:r>
        <w:rPr/>
        <w:t>Commission File Number: </w:t>
      </w:r>
      <w:r>
        <w:rPr>
          <w:rStyle w:val="StrongEmphasis"/>
        </w:rPr>
        <w:t>001-42637</w:t>
      </w:r>
    </w:p>
    <w:p>
      <w:pPr>
        <w:pStyle w:val="TextBody"/>
        <w:bidi w:val="0"/>
        <w:jc w:val="center"/>
        <w:rPr/>
      </w:pPr>
      <w:r>
        <w:rPr>
          <w:rStyle w:val="StrongEmphasis"/>
          <w:sz w:val="24"/>
        </w:rPr>
        <w:t>Antalpha Platform Holding Company</w:t>
      </w:r>
      <w:r>
        <w:rPr/>
        <w:br/>
        <w:t>(Translation of registrant's name into English)</w:t>
      </w:r>
    </w:p>
    <w:p>
      <w:pPr>
        <w:pStyle w:val="TextBody"/>
        <w:bidi w:val="0"/>
        <w:jc w:val="center"/>
        <w:rPr/>
      </w:pPr>
      <w:r>
        <w:rPr>
          <w:rStyle w:val="StrongEmphasis"/>
        </w:rPr>
        <w:t>7 TEMASEK BOULEVARD, #31-02 SUNTEC TOWER 1,</w:t>
        <w:br/>
        <w:t>SINGAPORE</w:t>
        <w:br/>
        <w:t>038987</w:t>
      </w:r>
      <w:r>
        <w:rPr/>
        <w:br/>
        <w:t>(Address of principal executive office)</w:t>
      </w:r>
    </w:p>
    <w:p>
      <w:pPr>
        <w:pStyle w:val="TextBody"/>
        <w:bidi w:val="0"/>
        <w:spacing w:before="0" w:after="283"/>
        <w:jc w:val="left"/>
        <w:rPr/>
      </w:pPr>
      <w:r>
        <w:rPr/>
        <w:t>Indicate by check mark whether the registrant files or will file annual reports under cover of Form 20-F or Form 40-F.</w:t>
        <w:br/>
        <w:t>Form 20-F [ X ]      Form 40-F [   ]</w:t>
      </w:r>
    </w:p>
    <w:p>
      <w:pPr>
        <w:pStyle w:val="TextBody"/>
        <w:bidi w:val="0"/>
        <w:spacing w:before="0" w:after="283"/>
        <w:jc w:val="left"/>
        <w:rPr/>
      </w:pPr>
      <w:r>
        <w:rPr/>
        <w:t> </w:t>
      </w:r>
    </w:p>
    <w:p>
      <w:pPr>
        <w:pStyle w:val="TextBody"/>
        <w:bidi w:val="0"/>
        <w:spacing w:before="0" w:after="283"/>
        <w:jc w:val="left"/>
        <w:rPr/>
      </w:pPr>
      <w:r>
        <w:rPr/>
        <w:t> </w:t>
      </w:r>
    </w:p>
    <w:p>
      <w:pPr>
        <w:pStyle w:val="HorizontalLine"/>
        <w:pBdr>
          <w:bottom w:val="single" w:sz="12" w:space="0" w:color="808080"/>
        </w:pBdr>
        <w:bidi w:val="0"/>
        <w:jc w:val="left"/>
        <w:rPr/>
      </w:pPr>
      <w:r>
        <w:rPr/>
      </w:r>
    </w:p>
    <w:p>
      <w:pPr>
        <w:pStyle w:val="TextBody"/>
        <w:bidi w:val="0"/>
        <w:spacing w:before="0" w:after="283"/>
        <w:jc w:val="left"/>
        <w:rPr/>
      </w:pPr>
      <w:r>
        <w:rPr/>
        <w:t xml:space="preserve">On August 19, 2026, the Registrant issued a press release, a copy of which is attached hereto as Exhibit 99.1 and is incorporated herein by reference. </w:t>
        <w:br/>
        <w:br/>
      </w:r>
      <w:hyperlink w:anchor="exh_991.htm">
        <w:r>
          <w:rPr>
            <w:rStyle w:val="InternetLink"/>
          </w:rPr>
          <w:t>(c) Exhibit 99.1. Press release dated August 19, 2026</w:t>
        </w:r>
      </w:hyperlink>
    </w:p>
    <w:p>
      <w:pPr>
        <w:pStyle w:val="HorizontalLine"/>
        <w:pBdr>
          <w:bottom w:val="single" w:sz="12" w:space="0" w:color="808080"/>
        </w:pBdr>
        <w:bidi w:val="0"/>
        <w:jc w:val="left"/>
        <w:rPr/>
      </w:pPr>
      <w:r>
        <w:rPr/>
      </w:r>
    </w:p>
    <w:p>
      <w:pPr>
        <w:pStyle w:val="TextBody"/>
        <w:bidi w:val="0"/>
        <w:jc w:val="center"/>
        <w:rPr/>
      </w:pPr>
      <w:r>
        <w:rPr>
          <w:rStyle w:val="StrongEmphasis"/>
        </w:rPr>
        <w:t>SIGNATURES</w:t>
      </w:r>
    </w:p>
    <w:p>
      <w:pPr>
        <w:pStyle w:val="TextBody"/>
        <w:bidi w:val="0"/>
        <w:spacing w:before="0" w:after="283"/>
        <w:jc w:val="left"/>
        <w:rPr/>
      </w:pPr>
      <w:r>
        <w:rPr/>
        <w:t>Pursuant to the requirements of the Securities Exchange Act of 1934, the registrant has duly caused this report to be signed on its behalf by the undersigned, thereunto duly authorized.</w:t>
      </w:r>
    </w:p>
    <w:tbl>
      <w:tblPr>
        <w:tblW w:w="3708" w:type="dxa"/>
        <w:jc w:val="left"/>
        <w:tblInd w:w="0" w:type="dxa"/>
        <w:tblLayout w:type="fixed"/>
        <w:tblCellMar>
          <w:top w:w="0" w:type="dxa"/>
          <w:left w:w="0" w:type="dxa"/>
          <w:bottom w:w="0" w:type="dxa"/>
          <w:right w:w="0" w:type="dxa"/>
        </w:tblCellMar>
      </w:tblPr>
      <w:tblGrid>
        <w:gridCol w:w="60"/>
        <w:gridCol w:w="60"/>
        <w:gridCol w:w="735"/>
        <w:gridCol w:w="99"/>
        <w:gridCol w:w="2754"/>
      </w:tblGrid>
      <w:tr>
        <w:trPr/>
        <w:tc>
          <w:tcPr>
            <w:tcW w:w="60" w:type="dxa"/>
            <w:tcBorders/>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3588" w:type="dxa"/>
            <w:gridSpan w:val="3"/>
            <w:tcBorders/>
          </w:tcPr>
          <w:p>
            <w:pPr>
              <w:pStyle w:val="TableContents"/>
              <w:bidi w:val="0"/>
              <w:spacing w:before="0" w:after="283"/>
              <w:jc w:val="left"/>
              <w:rPr/>
            </w:pPr>
            <w:r>
              <w:rPr/>
              <w:t>Antalpha Platform Holding Company</w:t>
            </w:r>
          </w:p>
        </w:tc>
      </w:tr>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88" w:type="dxa"/>
            <w:gridSpan w:val="3"/>
            <w:tcBorders/>
            <w:vAlign w:val="center"/>
          </w:tcPr>
          <w:p>
            <w:pPr>
              <w:pStyle w:val="TableContents"/>
              <w:bidi w:val="0"/>
              <w:spacing w:before="0" w:after="283"/>
              <w:jc w:val="left"/>
              <w:rPr>
                <w:sz w:val="4"/>
                <w:szCs w:val="4"/>
              </w:rPr>
            </w:pPr>
            <w:r>
              <w:rPr>
                <w:sz w:val="4"/>
                <w:szCs w:val="4"/>
              </w:rPr>
            </w:r>
          </w:p>
        </w:tc>
      </w:tr>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5" w:type="dxa"/>
            <w:tcBorders/>
            <w:vAlign w:val="center"/>
          </w:tcPr>
          <w:p>
            <w:pPr>
              <w:pStyle w:val="TableContents"/>
              <w:bidi w:val="0"/>
              <w:spacing w:before="0" w:after="283"/>
              <w:jc w:val="left"/>
              <w:rPr/>
            </w:pPr>
            <w:r>
              <w:rPr/>
              <w:t>By</w:t>
            </w:r>
          </w:p>
        </w:tc>
        <w:tc>
          <w:tcPr>
            <w:tcW w:w="99" w:type="dxa"/>
            <w:tcBorders/>
            <w:vAlign w:val="center"/>
          </w:tcPr>
          <w:p>
            <w:pPr>
              <w:pStyle w:val="TableContents"/>
              <w:bidi w:val="0"/>
              <w:spacing w:before="0" w:after="283"/>
              <w:jc w:val="left"/>
              <w:rPr/>
            </w:pPr>
            <w:r>
              <w:rPr/>
              <w:t>:</w:t>
            </w:r>
          </w:p>
        </w:tc>
        <w:tc>
          <w:tcPr>
            <w:tcW w:w="2754" w:type="dxa"/>
            <w:tcBorders/>
            <w:vAlign w:val="center"/>
          </w:tcPr>
          <w:p>
            <w:pPr>
              <w:pStyle w:val="TableContents"/>
              <w:bidi w:val="0"/>
              <w:spacing w:before="0" w:after="283"/>
              <w:jc w:val="left"/>
              <w:rPr>
                <w:u w:val="single"/>
              </w:rPr>
            </w:pPr>
            <w:r>
              <w:rPr>
                <w:u w:val="single"/>
              </w:rPr>
              <w:t>/s/ Paul Liang    </w:t>
            </w:r>
          </w:p>
        </w:tc>
      </w:tr>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5" w:type="dxa"/>
            <w:tcBorders/>
            <w:vAlign w:val="center"/>
          </w:tcPr>
          <w:p>
            <w:pPr>
              <w:pStyle w:val="TableContents"/>
              <w:bidi w:val="0"/>
              <w:spacing w:before="0" w:after="283"/>
              <w:jc w:val="left"/>
              <w:rPr/>
            </w:pPr>
            <w:r>
              <w:rPr/>
              <w:t>Name</w:t>
            </w:r>
          </w:p>
        </w:tc>
        <w:tc>
          <w:tcPr>
            <w:tcW w:w="99" w:type="dxa"/>
            <w:tcBorders/>
            <w:vAlign w:val="center"/>
          </w:tcPr>
          <w:p>
            <w:pPr>
              <w:pStyle w:val="TableContents"/>
              <w:bidi w:val="0"/>
              <w:spacing w:before="0" w:after="283"/>
              <w:jc w:val="left"/>
              <w:rPr/>
            </w:pPr>
            <w:r>
              <w:rPr/>
              <w:t>:</w:t>
            </w:r>
          </w:p>
        </w:tc>
        <w:tc>
          <w:tcPr>
            <w:tcW w:w="2754" w:type="dxa"/>
            <w:tcBorders/>
            <w:vAlign w:val="center"/>
          </w:tcPr>
          <w:p>
            <w:pPr>
              <w:pStyle w:val="TableContents"/>
              <w:bidi w:val="0"/>
              <w:spacing w:before="0" w:after="283"/>
              <w:jc w:val="left"/>
              <w:rPr/>
            </w:pPr>
            <w:r>
              <w:rPr/>
              <w:t>Paul Liang</w:t>
            </w:r>
          </w:p>
        </w:tc>
      </w:tr>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5" w:type="dxa"/>
            <w:tcBorders/>
            <w:vAlign w:val="center"/>
          </w:tcPr>
          <w:p>
            <w:pPr>
              <w:pStyle w:val="TableContents"/>
              <w:bidi w:val="0"/>
              <w:spacing w:before="0" w:after="283"/>
              <w:jc w:val="left"/>
              <w:rPr/>
            </w:pPr>
            <w:r>
              <w:rPr/>
              <w:t>Title</w:t>
            </w:r>
          </w:p>
        </w:tc>
        <w:tc>
          <w:tcPr>
            <w:tcW w:w="99" w:type="dxa"/>
            <w:tcBorders/>
            <w:vAlign w:val="center"/>
          </w:tcPr>
          <w:p>
            <w:pPr>
              <w:pStyle w:val="TableContents"/>
              <w:bidi w:val="0"/>
              <w:spacing w:before="0" w:after="283"/>
              <w:jc w:val="left"/>
              <w:rPr/>
            </w:pPr>
            <w:r>
              <w:rPr/>
              <w:t>:</w:t>
            </w:r>
          </w:p>
        </w:tc>
        <w:tc>
          <w:tcPr>
            <w:tcW w:w="2754" w:type="dxa"/>
            <w:tcBorders/>
            <w:vAlign w:val="center"/>
          </w:tcPr>
          <w:p>
            <w:pPr>
              <w:pStyle w:val="TableContents"/>
              <w:bidi w:val="0"/>
              <w:spacing w:before="0" w:after="283"/>
              <w:jc w:val="left"/>
              <w:rPr/>
            </w:pPr>
            <w:r>
              <w:rPr/>
              <w:t>Chief Financial Officer</w:t>
            </w:r>
          </w:p>
        </w:tc>
      </w:tr>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88" w:type="dxa"/>
            <w:gridSpan w:val="3"/>
            <w:tcBorders/>
            <w:vAlign w:val="center"/>
          </w:tcPr>
          <w:p>
            <w:pPr>
              <w:pStyle w:val="TableContents"/>
              <w:bidi w:val="0"/>
              <w:spacing w:before="0" w:after="283"/>
              <w:jc w:val="left"/>
              <w:rPr/>
            </w:pPr>
            <w:r>
              <w:rPr/>
              <w:t>Date: August 20, 2026</w:t>
            </w:r>
          </w:p>
        </w:tc>
      </w:tr>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8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center"/>
        <w:rPr/>
      </w:pPr>
      <w:r>
        <w:rPr>
          <w:rStyle w:val="StrongEmphasis"/>
          <w:sz w:val="28"/>
        </w:rPr>
        <w:t>Antalpha Reports Second Quarter 2026 Results</w:t>
      </w:r>
    </w:p>
    <w:p>
      <w:pPr>
        <w:pStyle w:val="TextBody"/>
        <w:bidi w:val="0"/>
        <w:spacing w:before="0" w:after="283"/>
        <w:jc w:val="left"/>
        <w:rPr/>
      </w:pPr>
      <w:r>
        <w:rPr/>
        <w:t>SINGAPORE, Aug. 19, 2026 (GLOBE NEWSWIRE) -- Antalpha Platform Holding Company (NASDAQ: ANTA) ("Antalpha" or the "Company") today announced its unaudited financial results for the second quarter ended June 30, 2026.</w:t>
      </w:r>
    </w:p>
    <w:p>
      <w:pPr>
        <w:pStyle w:val="TextBody"/>
        <w:bidi w:val="0"/>
        <w:spacing w:before="0" w:after="283"/>
        <w:jc w:val="left"/>
        <w:rPr/>
      </w:pPr>
      <w:r>
        <w:rPr/>
        <w:t>“</w:t>
      </w:r>
      <w:r>
        <w:rPr/>
        <w:t>During the second quarter, we executed across our financing, technology and risk management businesses,” said Paul Liang, Chief Financial Officer of Antalpha. “As financing activity moderated during the quarter, we were selective in deploying capital by prioritizing portfolio quality and long-term client relationships while improving funding efficiency. Antalpha Prime, our flagship financing platform and primary revenue and earnings contributor, delivered operating profitability while maintaining our record of zero principal loss since inception, demonstrating the strength of our underwriting discipline and risk management framework.”</w:t>
      </w:r>
    </w:p>
    <w:p>
      <w:pPr>
        <w:pStyle w:val="TextBody"/>
        <w:bidi w:val="0"/>
        <w:spacing w:before="0" w:after="283"/>
        <w:jc w:val="left"/>
        <w:rPr/>
      </w:pPr>
      <w:r>
        <w:rPr/>
        <w:t>“</w:t>
      </w:r>
      <w:r>
        <w:rPr/>
        <w:t>Our consolidated financial results primarily reflected unrealized fair-value adjustments related to Aurelion’s tokenized gold holdings, which impacted reported results but did not reflect the underlying operating performance of Antalpha Prime. We believe it is important to evaluate these reported results alongside the continued operating performance of Antalpha Prime as we execute our long-term strategy.”</w:t>
      </w:r>
    </w:p>
    <w:p>
      <w:pPr>
        <w:pStyle w:val="TextBody"/>
        <w:bidi w:val="0"/>
        <w:spacing w:before="0" w:after="283"/>
        <w:jc w:val="left"/>
        <w:rPr/>
      </w:pPr>
      <w:r>
        <w:rPr/>
        <w:t>“</w:t>
      </w:r>
      <w:r>
        <w:rPr/>
        <w:t>We believe that disciplined operations and risk management are the foundation for creating long-term shareholder value. As such, we will deploy capital selectively, enhance our financing platform, and advance high ROI complementary capabilities such as our tokenized gold platform and Web3 AI agent, Nina.”</w:t>
      </w:r>
    </w:p>
    <w:p>
      <w:pPr>
        <w:pStyle w:val="TextBody"/>
        <w:bidi w:val="0"/>
        <w:spacing w:before="0" w:after="283"/>
        <w:jc w:val="left"/>
        <w:rPr/>
      </w:pPr>
      <w:r>
        <w:rPr>
          <w:rStyle w:val="StrongEmphasis"/>
        </w:rPr>
        <w:t>Second Quarter 2026 Financial Highlights</w:t>
      </w:r>
    </w:p>
    <w:tbl>
      <w:tblPr>
        <w:tblW w:w="8744" w:type="dxa"/>
        <w:jc w:val="left"/>
        <w:tblInd w:w="0" w:type="dxa"/>
        <w:tblLayout w:type="fixed"/>
        <w:tblCellMar>
          <w:top w:w="28" w:type="dxa"/>
          <w:left w:w="28" w:type="dxa"/>
          <w:bottom w:w="28" w:type="dxa"/>
          <w:right w:w="28" w:type="dxa"/>
        </w:tblCellMar>
      </w:tblPr>
      <w:tblGrid>
        <w:gridCol w:w="4111"/>
        <w:gridCol w:w="2470"/>
        <w:gridCol w:w="470"/>
        <w:gridCol w:w="811"/>
        <w:gridCol w:w="146"/>
        <w:gridCol w:w="736"/>
      </w:tblGrid>
      <w:tr>
        <w:trPr/>
        <w:tc>
          <w:tcPr>
            <w:tcW w:w="4111" w:type="dxa"/>
            <w:tcBorders/>
            <w:vAlign w:val="center"/>
          </w:tcPr>
          <w:p>
            <w:pPr>
              <w:pStyle w:val="TableContents"/>
              <w:bidi w:val="0"/>
              <w:spacing w:before="0" w:after="283"/>
              <w:jc w:val="left"/>
              <w:rPr/>
            </w:pPr>
            <w:r>
              <w:rPr/>
              <w:t> </w:t>
            </w:r>
          </w:p>
        </w:tc>
        <w:tc>
          <w:tcPr>
            <w:tcW w:w="3751"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For the three Months Ended</w:t>
              <w:br/>
              <w:t>June 30,</w:t>
            </w:r>
          </w:p>
        </w:tc>
        <w:tc>
          <w:tcPr>
            <w:tcW w:w="146" w:type="dxa"/>
            <w:tcBorders/>
            <w:vAlign w:val="center"/>
          </w:tcPr>
          <w:p>
            <w:pPr>
              <w:pStyle w:val="TableContents"/>
              <w:bidi w:val="0"/>
              <w:spacing w:before="0" w:after="283"/>
              <w:jc w:val="center"/>
              <w:rPr/>
            </w:pPr>
            <w:r>
              <w:rPr/>
              <w:t> </w:t>
            </w:r>
          </w:p>
        </w:tc>
        <w:tc>
          <w:tcPr>
            <w:tcW w:w="736" w:type="dxa"/>
            <w:tcBorders/>
            <w:vAlign w:val="center"/>
          </w:tcPr>
          <w:p>
            <w:pPr>
              <w:pStyle w:val="TableContents"/>
              <w:bidi w:val="0"/>
              <w:spacing w:before="0" w:after="283"/>
              <w:jc w:val="center"/>
              <w:rPr/>
            </w:pPr>
            <w:r>
              <w:rPr/>
              <w:t> </w:t>
            </w:r>
          </w:p>
        </w:tc>
      </w:tr>
      <w:tr>
        <w:trPr/>
        <w:tc>
          <w:tcPr>
            <w:tcW w:w="4111" w:type="dxa"/>
            <w:tcBorders/>
            <w:vAlign w:val="center"/>
          </w:tcPr>
          <w:p>
            <w:pPr>
              <w:pStyle w:val="TableContents"/>
              <w:bidi w:val="0"/>
              <w:spacing w:before="0" w:after="283"/>
              <w:jc w:val="left"/>
              <w:rPr/>
            </w:pPr>
            <w:r>
              <w:rPr>
                <w:rStyle w:val="StrongEmphasis"/>
              </w:rPr>
              <w:t>(</w:t>
            </w:r>
            <w:r>
              <w:rPr/>
              <w:t>In US$1 millions, unaudited</w:t>
            </w:r>
            <w:r>
              <w:rPr>
                <w:rStyle w:val="StrongEmphasis"/>
              </w:rPr>
              <w:t>)</w:t>
            </w:r>
          </w:p>
        </w:tc>
        <w:tc>
          <w:tcPr>
            <w:tcW w:w="247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2025</w:t>
            </w:r>
          </w:p>
        </w:tc>
        <w:tc>
          <w:tcPr>
            <w:tcW w:w="470"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c>
          <w:tcPr>
            <w:tcW w:w="81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2026</w:t>
            </w:r>
          </w:p>
        </w:tc>
        <w:tc>
          <w:tcPr>
            <w:tcW w:w="146" w:type="dxa"/>
            <w:tcBorders/>
            <w:vAlign w:val="center"/>
          </w:tcPr>
          <w:p>
            <w:pPr>
              <w:pStyle w:val="TableContents"/>
              <w:bidi w:val="0"/>
              <w:spacing w:before="0" w:after="283"/>
              <w:jc w:val="center"/>
              <w:rPr/>
            </w:pPr>
            <w:r>
              <w:rPr/>
              <w:t> </w:t>
            </w:r>
          </w:p>
        </w:tc>
        <w:tc>
          <w:tcPr>
            <w:tcW w:w="73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Emphasis"/>
              </w:rPr>
              <w:t>YOY</w:t>
            </w:r>
          </w:p>
        </w:tc>
      </w:tr>
      <w:tr>
        <w:trPr/>
        <w:tc>
          <w:tcPr>
            <w:tcW w:w="4111" w:type="dxa"/>
            <w:tcBorders/>
            <w:vAlign w:val="center"/>
          </w:tcPr>
          <w:p>
            <w:pPr>
              <w:pStyle w:val="TableContents"/>
              <w:bidi w:val="0"/>
              <w:spacing w:before="0" w:after="283"/>
              <w:jc w:val="left"/>
              <w:rPr/>
            </w:pPr>
            <w:r>
              <w:rPr>
                <w:rStyle w:val="StrongEmphasis"/>
              </w:rPr>
              <w:t>Total Revenue</w:t>
            </w:r>
          </w:p>
        </w:tc>
        <w:tc>
          <w:tcPr>
            <w:tcW w:w="2470"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$17.0</w:t>
            </w:r>
          </w:p>
        </w:tc>
        <w:tc>
          <w:tcPr>
            <w:tcW w:w="470" w:type="dxa"/>
            <w:tcBorders/>
            <w:vAlign w:val="center"/>
          </w:tcPr>
          <w:p>
            <w:pPr>
              <w:pStyle w:val="TableContents"/>
              <w:bidi w:val="0"/>
              <w:spacing w:before="0" w:after="283"/>
              <w:jc w:val="left"/>
              <w:rPr/>
            </w:pPr>
            <w:r>
              <w:rPr/>
              <w:t> </w:t>
            </w:r>
          </w:p>
        </w:tc>
        <w:tc>
          <w:tcPr>
            <w:tcW w:w="811"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$12.2</w:t>
            </w:r>
          </w:p>
        </w:tc>
        <w:tc>
          <w:tcPr>
            <w:tcW w:w="146" w:type="dxa"/>
            <w:tcBorders/>
            <w:vAlign w:val="center"/>
          </w:tcPr>
          <w:p>
            <w:pPr>
              <w:pStyle w:val="TableContents"/>
              <w:bidi w:val="0"/>
              <w:spacing w:before="0" w:after="283"/>
              <w:jc w:val="left"/>
              <w:rPr/>
            </w:pPr>
            <w:r>
              <w:rPr/>
              <w:t> </w:t>
            </w:r>
          </w:p>
        </w:tc>
        <w:tc>
          <w:tcPr>
            <w:tcW w:w="73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rStyle w:val="Emphasis"/>
              </w:rPr>
              <w:t>(28%)</w:t>
            </w:r>
          </w:p>
        </w:tc>
      </w:tr>
      <w:tr>
        <w:trPr/>
        <w:tc>
          <w:tcPr>
            <w:tcW w:w="4111" w:type="dxa"/>
            <w:tcBorders/>
            <w:vAlign w:val="center"/>
          </w:tcPr>
          <w:p>
            <w:pPr>
              <w:pStyle w:val="TableContents"/>
              <w:bidi w:val="0"/>
              <w:spacing w:before="0" w:after="283"/>
              <w:jc w:val="left"/>
              <w:rPr/>
            </w:pPr>
            <w:r>
              <w:rPr>
                <w:rStyle w:val="StrongEmphasis"/>
              </w:rPr>
              <w:t>Net income attributable to Antalpha*</w:t>
            </w:r>
          </w:p>
        </w:tc>
        <w:tc>
          <w:tcPr>
            <w:tcW w:w="2470" w:type="dxa"/>
            <w:tcBorders/>
            <w:vAlign w:val="center"/>
          </w:tcPr>
          <w:p>
            <w:pPr>
              <w:pStyle w:val="TableContents"/>
              <w:bidi w:val="0"/>
              <w:spacing w:before="0" w:after="283"/>
              <w:jc w:val="right"/>
              <w:rPr/>
            </w:pPr>
            <w:r>
              <w:rPr/>
              <w:t>$0.7</w:t>
            </w:r>
          </w:p>
        </w:tc>
        <w:tc>
          <w:tcPr>
            <w:tcW w:w="470" w:type="dxa"/>
            <w:tcBorders/>
            <w:vAlign w:val="center"/>
          </w:tcPr>
          <w:p>
            <w:pPr>
              <w:pStyle w:val="TableContents"/>
              <w:bidi w:val="0"/>
              <w:spacing w:before="0" w:after="283"/>
              <w:jc w:val="right"/>
              <w:rPr/>
            </w:pPr>
            <w:r>
              <w:rPr/>
              <w:t> </w:t>
            </w:r>
          </w:p>
        </w:tc>
        <w:tc>
          <w:tcPr>
            <w:tcW w:w="811" w:type="dxa"/>
            <w:tcBorders/>
            <w:vAlign w:val="center"/>
          </w:tcPr>
          <w:p>
            <w:pPr>
              <w:pStyle w:val="TableContents"/>
              <w:bidi w:val="0"/>
              <w:spacing w:before="0" w:after="283"/>
              <w:jc w:val="right"/>
              <w:rPr/>
            </w:pPr>
            <w:r>
              <w:rPr/>
              <w:t>($12.5)</w:t>
            </w:r>
          </w:p>
        </w:tc>
        <w:tc>
          <w:tcPr>
            <w:tcW w:w="146" w:type="dxa"/>
            <w:tcBorders/>
            <w:vAlign w:val="center"/>
          </w:tcPr>
          <w:p>
            <w:pPr>
              <w:pStyle w:val="TableContents"/>
              <w:bidi w:val="0"/>
              <w:spacing w:before="0" w:after="283"/>
              <w:jc w:val="right"/>
              <w:rPr/>
            </w:pPr>
            <w:r>
              <w:rPr/>
              <w:t> </w:t>
            </w:r>
          </w:p>
        </w:tc>
        <w:tc>
          <w:tcPr>
            <w:tcW w:w="736" w:type="dxa"/>
            <w:tcBorders/>
            <w:vAlign w:val="center"/>
          </w:tcPr>
          <w:p>
            <w:pPr>
              <w:pStyle w:val="TableContents"/>
              <w:bidi w:val="0"/>
              <w:spacing w:before="0" w:after="283"/>
              <w:jc w:val="right"/>
              <w:rPr/>
            </w:pPr>
            <w:r>
              <w:rPr>
                <w:rStyle w:val="Emphasis"/>
              </w:rPr>
              <w:t>NM</w:t>
            </w:r>
          </w:p>
        </w:tc>
      </w:tr>
      <w:tr>
        <w:trPr/>
        <w:tc>
          <w:tcPr>
            <w:tcW w:w="4111" w:type="dxa"/>
            <w:tcBorders/>
            <w:vAlign w:val="center"/>
          </w:tcPr>
          <w:p>
            <w:pPr>
              <w:pStyle w:val="TableContents"/>
              <w:bidi w:val="0"/>
              <w:spacing w:before="0" w:after="283"/>
              <w:jc w:val="left"/>
              <w:rPr/>
            </w:pPr>
            <w:r>
              <w:rPr>
                <w:rStyle w:val="StrongEmphasis"/>
              </w:rPr>
              <w:t>Adjusted EBITDA (non-GAAP)**</w:t>
            </w:r>
          </w:p>
        </w:tc>
        <w:tc>
          <w:tcPr>
            <w:tcW w:w="2470" w:type="dxa"/>
            <w:tcBorders/>
            <w:vAlign w:val="center"/>
          </w:tcPr>
          <w:p>
            <w:pPr>
              <w:pStyle w:val="TableContents"/>
              <w:bidi w:val="0"/>
              <w:spacing w:before="0" w:after="283"/>
              <w:jc w:val="right"/>
              <w:rPr/>
            </w:pPr>
            <w:r>
              <w:rPr/>
              <w:t>$3.8</w:t>
            </w:r>
          </w:p>
        </w:tc>
        <w:tc>
          <w:tcPr>
            <w:tcW w:w="470" w:type="dxa"/>
            <w:tcBorders/>
            <w:vAlign w:val="center"/>
          </w:tcPr>
          <w:p>
            <w:pPr>
              <w:pStyle w:val="TableContents"/>
              <w:bidi w:val="0"/>
              <w:spacing w:before="0" w:after="283"/>
              <w:jc w:val="left"/>
              <w:rPr/>
            </w:pPr>
            <w:r>
              <w:rPr/>
              <w:t> </w:t>
            </w:r>
          </w:p>
        </w:tc>
        <w:tc>
          <w:tcPr>
            <w:tcW w:w="811" w:type="dxa"/>
            <w:tcBorders/>
            <w:vAlign w:val="center"/>
          </w:tcPr>
          <w:p>
            <w:pPr>
              <w:pStyle w:val="TableContents"/>
              <w:bidi w:val="0"/>
              <w:spacing w:before="0" w:after="283"/>
              <w:jc w:val="right"/>
              <w:rPr/>
            </w:pPr>
            <w:r>
              <w:rPr/>
              <w:t>($27.4)</w:t>
            </w:r>
          </w:p>
        </w:tc>
        <w:tc>
          <w:tcPr>
            <w:tcW w:w="146"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right"/>
              <w:rPr/>
            </w:pPr>
            <w:r>
              <w:rPr>
                <w:rStyle w:val="Emphasis"/>
              </w:rPr>
              <w:t>NM</w:t>
            </w:r>
          </w:p>
        </w:tc>
      </w:tr>
      <w:tr>
        <w:trPr/>
        <w:tc>
          <w:tcPr>
            <w:tcW w:w="4111" w:type="dxa"/>
            <w:tcBorders/>
            <w:vAlign w:val="center"/>
          </w:tcPr>
          <w:p>
            <w:pPr>
              <w:pStyle w:val="TableContents"/>
              <w:bidi w:val="0"/>
              <w:spacing w:before="0" w:after="283"/>
              <w:jc w:val="left"/>
              <w:rPr/>
            </w:pPr>
            <w:r>
              <w:rPr>
                <w:rStyle w:val="Emphasis"/>
              </w:rPr>
              <w:t>Adjusted EBITDA Margin (non-GAAP)*</w:t>
            </w:r>
          </w:p>
        </w:tc>
        <w:tc>
          <w:tcPr>
            <w:tcW w:w="2470" w:type="dxa"/>
            <w:tcBorders/>
            <w:vAlign w:val="center"/>
          </w:tcPr>
          <w:p>
            <w:pPr>
              <w:pStyle w:val="TableContents"/>
              <w:bidi w:val="0"/>
              <w:spacing w:before="0" w:after="283"/>
              <w:jc w:val="right"/>
              <w:rPr/>
            </w:pPr>
            <w:r>
              <w:rPr>
                <w:rStyle w:val="Emphasis"/>
              </w:rPr>
              <w:t>22%</w:t>
            </w:r>
          </w:p>
        </w:tc>
        <w:tc>
          <w:tcPr>
            <w:tcW w:w="470" w:type="dxa"/>
            <w:tcBorders/>
            <w:vAlign w:val="center"/>
          </w:tcPr>
          <w:p>
            <w:pPr>
              <w:pStyle w:val="TableContents"/>
              <w:bidi w:val="0"/>
              <w:spacing w:before="0" w:after="283"/>
              <w:jc w:val="left"/>
              <w:rPr/>
            </w:pPr>
            <w:r>
              <w:rPr/>
              <w:t> </w:t>
            </w:r>
          </w:p>
        </w:tc>
        <w:tc>
          <w:tcPr>
            <w:tcW w:w="811" w:type="dxa"/>
            <w:tcBorders/>
            <w:vAlign w:val="center"/>
          </w:tcPr>
          <w:p>
            <w:pPr>
              <w:pStyle w:val="TableContents"/>
              <w:bidi w:val="0"/>
              <w:spacing w:before="0" w:after="283"/>
              <w:jc w:val="right"/>
              <w:rPr/>
            </w:pPr>
            <w:r>
              <w:rPr>
                <w:rStyle w:val="Emphasis"/>
              </w:rPr>
              <w:t>(225%)</w:t>
            </w:r>
          </w:p>
        </w:tc>
        <w:tc>
          <w:tcPr>
            <w:tcW w:w="146"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right"/>
              <w:rPr/>
            </w:pPr>
            <w:r>
              <w:rPr>
                <w:rStyle w:val="Emphasis"/>
              </w:rPr>
              <w:t>NM</w:t>
            </w:r>
          </w:p>
        </w:tc>
      </w:tr>
      <w:tr>
        <w:trPr/>
        <w:tc>
          <w:tcPr>
            <w:tcW w:w="4111" w:type="dxa"/>
            <w:tcBorders/>
            <w:vAlign w:val="center"/>
          </w:tcPr>
          <w:p>
            <w:pPr>
              <w:pStyle w:val="TableContents"/>
              <w:bidi w:val="0"/>
              <w:spacing w:before="0" w:after="283"/>
              <w:jc w:val="left"/>
              <w:rPr/>
            </w:pPr>
            <w:r>
              <w:rPr/>
              <w:t> </w:t>
            </w:r>
          </w:p>
        </w:tc>
        <w:tc>
          <w:tcPr>
            <w:tcW w:w="3751"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br/>
            </w:r>
            <w:r>
              <w:rPr>
                <w:rStyle w:val="StrongEmphasis"/>
              </w:rPr>
              <w:br/>
              <w:t>As of June 30,</w:t>
            </w:r>
          </w:p>
        </w:tc>
        <w:tc>
          <w:tcPr>
            <w:tcW w:w="146" w:type="dxa"/>
            <w:tcBorders/>
            <w:vAlign w:val="center"/>
          </w:tcPr>
          <w:p>
            <w:pPr>
              <w:pStyle w:val="TableContents"/>
              <w:bidi w:val="0"/>
              <w:spacing w:before="0" w:after="283"/>
              <w:jc w:val="center"/>
              <w:rPr/>
            </w:pPr>
            <w:r>
              <w:rPr/>
              <w:t> </w:t>
            </w:r>
          </w:p>
        </w:tc>
        <w:tc>
          <w:tcPr>
            <w:tcW w:w="736" w:type="dxa"/>
            <w:tcBorders/>
            <w:vAlign w:val="center"/>
          </w:tcPr>
          <w:p>
            <w:pPr>
              <w:pStyle w:val="TableContents"/>
              <w:bidi w:val="0"/>
              <w:spacing w:before="0" w:after="283"/>
              <w:jc w:val="center"/>
              <w:rPr/>
            </w:pPr>
            <w:r>
              <w:rPr/>
              <w:t> </w:t>
            </w:r>
          </w:p>
        </w:tc>
      </w:tr>
      <w:tr>
        <w:trPr/>
        <w:tc>
          <w:tcPr>
            <w:tcW w:w="4111" w:type="dxa"/>
            <w:tcBorders/>
            <w:vAlign w:val="center"/>
          </w:tcPr>
          <w:p>
            <w:pPr>
              <w:pStyle w:val="TableContents"/>
              <w:bidi w:val="0"/>
              <w:spacing w:before="0" w:after="283"/>
              <w:jc w:val="left"/>
              <w:rPr/>
            </w:pPr>
            <w:r>
              <w:rPr/>
              <w:t>(In US$1 millions, unaudited)</w:t>
            </w:r>
          </w:p>
        </w:tc>
        <w:tc>
          <w:tcPr>
            <w:tcW w:w="2470"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2025</w:t>
            </w:r>
          </w:p>
        </w:tc>
        <w:tc>
          <w:tcPr>
            <w:tcW w:w="470"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c>
          <w:tcPr>
            <w:tcW w:w="81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2026</w:t>
            </w:r>
          </w:p>
        </w:tc>
        <w:tc>
          <w:tcPr>
            <w:tcW w:w="146" w:type="dxa"/>
            <w:tcBorders/>
            <w:vAlign w:val="center"/>
          </w:tcPr>
          <w:p>
            <w:pPr>
              <w:pStyle w:val="TableContents"/>
              <w:bidi w:val="0"/>
              <w:spacing w:before="0" w:after="283"/>
              <w:jc w:val="center"/>
              <w:rPr/>
            </w:pPr>
            <w:r>
              <w:rPr/>
              <w:t> </w:t>
            </w:r>
          </w:p>
        </w:tc>
        <w:tc>
          <w:tcPr>
            <w:tcW w:w="73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Emphasis"/>
              </w:rPr>
              <w:t>YOY</w:t>
            </w:r>
          </w:p>
        </w:tc>
      </w:tr>
      <w:tr>
        <w:trPr/>
        <w:tc>
          <w:tcPr>
            <w:tcW w:w="4111" w:type="dxa"/>
            <w:tcBorders/>
            <w:tcMar>
              <w:top w:w="0" w:type="dxa"/>
              <w:left w:w="0" w:type="dxa"/>
              <w:bottom w:w="0" w:type="dxa"/>
              <w:right w:w="0" w:type="dxa"/>
            </w:tcMar>
            <w:vAlign w:val="center"/>
          </w:tcPr>
          <w:p>
            <w:pPr>
              <w:pStyle w:val="TableContents"/>
              <w:bidi w:val="0"/>
              <w:spacing w:before="0" w:after="283"/>
              <w:jc w:val="left"/>
              <w:rPr/>
            </w:pPr>
            <w:r>
              <w:rPr>
                <w:rStyle w:val="StrongEmphasis"/>
              </w:rPr>
              <w:t>Supply Chain TVL </w:t>
            </w:r>
          </w:p>
        </w:tc>
        <w:tc>
          <w:tcPr>
            <w:tcW w:w="2470"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$714</w:t>
            </w:r>
          </w:p>
        </w:tc>
        <w:tc>
          <w:tcPr>
            <w:tcW w:w="470" w:type="dxa"/>
            <w:tcBorders/>
            <w:vAlign w:val="center"/>
          </w:tcPr>
          <w:p>
            <w:pPr>
              <w:pStyle w:val="TableContents"/>
              <w:bidi w:val="0"/>
              <w:spacing w:before="0" w:after="283"/>
              <w:jc w:val="right"/>
              <w:rPr/>
            </w:pPr>
            <w:r>
              <w:rPr/>
              <w:t> </w:t>
            </w:r>
          </w:p>
        </w:tc>
        <w:tc>
          <w:tcPr>
            <w:tcW w:w="811"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$384</w:t>
            </w:r>
          </w:p>
        </w:tc>
        <w:tc>
          <w:tcPr>
            <w:tcW w:w="146" w:type="dxa"/>
            <w:tcBorders/>
            <w:vAlign w:val="center"/>
          </w:tcPr>
          <w:p>
            <w:pPr>
              <w:pStyle w:val="TableContents"/>
              <w:bidi w:val="0"/>
              <w:spacing w:before="0" w:after="283"/>
              <w:jc w:val="left"/>
              <w:rPr/>
            </w:pPr>
            <w:r>
              <w:rPr/>
              <w:t> </w:t>
            </w:r>
          </w:p>
        </w:tc>
        <w:tc>
          <w:tcPr>
            <w:tcW w:w="73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rStyle w:val="Emphasis"/>
              </w:rPr>
              <w:t>(46%)</w:t>
            </w:r>
          </w:p>
        </w:tc>
      </w:tr>
      <w:tr>
        <w:trPr/>
        <w:tc>
          <w:tcPr>
            <w:tcW w:w="4111" w:type="dxa"/>
            <w:tcBorders/>
            <w:tcMar>
              <w:top w:w="0" w:type="dxa"/>
              <w:left w:w="0" w:type="dxa"/>
              <w:bottom w:w="0" w:type="dxa"/>
              <w:right w:w="0" w:type="dxa"/>
            </w:tcMar>
            <w:vAlign w:val="center"/>
          </w:tcPr>
          <w:p>
            <w:pPr>
              <w:pStyle w:val="TableContents"/>
              <w:bidi w:val="0"/>
              <w:spacing w:before="0" w:after="283"/>
              <w:jc w:val="left"/>
              <w:rPr/>
            </w:pPr>
            <w:r>
              <w:rPr>
                <w:rStyle w:val="StrongEmphasis"/>
              </w:rPr>
              <w:t>Margin Loan TVL***</w:t>
            </w:r>
          </w:p>
        </w:tc>
        <w:tc>
          <w:tcPr>
            <w:tcW w:w="2470" w:type="dxa"/>
            <w:tcBorders/>
            <w:vAlign w:val="center"/>
          </w:tcPr>
          <w:p>
            <w:pPr>
              <w:pStyle w:val="TableContents"/>
              <w:bidi w:val="0"/>
              <w:spacing w:before="0" w:after="283"/>
              <w:jc w:val="right"/>
              <w:rPr/>
            </w:pPr>
            <w:r>
              <w:rPr/>
              <w:t>$1,335</w:t>
            </w:r>
          </w:p>
        </w:tc>
        <w:tc>
          <w:tcPr>
            <w:tcW w:w="470" w:type="dxa"/>
            <w:tcBorders/>
            <w:vAlign w:val="center"/>
          </w:tcPr>
          <w:p>
            <w:pPr>
              <w:pStyle w:val="TableContents"/>
              <w:bidi w:val="0"/>
              <w:spacing w:before="0" w:after="283"/>
              <w:jc w:val="left"/>
              <w:rPr/>
            </w:pPr>
            <w:r>
              <w:rPr/>
              <w:t> </w:t>
            </w:r>
          </w:p>
        </w:tc>
        <w:tc>
          <w:tcPr>
            <w:tcW w:w="811" w:type="dxa"/>
            <w:tcBorders/>
            <w:vAlign w:val="center"/>
          </w:tcPr>
          <w:p>
            <w:pPr>
              <w:pStyle w:val="TableContents"/>
              <w:bidi w:val="0"/>
              <w:spacing w:before="0" w:after="283"/>
              <w:jc w:val="right"/>
              <w:rPr/>
            </w:pPr>
            <w:r>
              <w:rPr/>
              <w:t>$969</w:t>
            </w:r>
          </w:p>
        </w:tc>
        <w:tc>
          <w:tcPr>
            <w:tcW w:w="146"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right"/>
              <w:rPr/>
            </w:pPr>
            <w:r>
              <w:rPr/>
              <w:t>(27%)</w:t>
            </w:r>
          </w:p>
        </w:tc>
      </w:tr>
      <w:tr>
        <w:trPr/>
        <w:tc>
          <w:tcPr>
            <w:tcW w:w="4111" w:type="dxa"/>
            <w:tcBorders/>
            <w:vAlign w:val="center"/>
          </w:tcPr>
          <w:p>
            <w:pPr>
              <w:pStyle w:val="TableContents"/>
              <w:bidi w:val="0"/>
              <w:spacing w:before="0" w:after="283"/>
              <w:jc w:val="left"/>
              <w:rPr/>
            </w:pPr>
            <w:r>
              <w:rPr>
                <w:rStyle w:val="StrongEmphasis"/>
              </w:rPr>
              <w:t>Total Value of Loans (TVL) Facilitated</w:t>
            </w:r>
          </w:p>
        </w:tc>
        <w:tc>
          <w:tcPr>
            <w:tcW w:w="2470" w:type="dxa"/>
            <w:tcBorders/>
            <w:vAlign w:val="center"/>
          </w:tcPr>
          <w:p>
            <w:pPr>
              <w:pStyle w:val="TableContents"/>
              <w:bidi w:val="0"/>
              <w:spacing w:before="0" w:after="283"/>
              <w:jc w:val="right"/>
              <w:rPr/>
            </w:pPr>
            <w:r>
              <w:rPr/>
              <w:t>$2,049</w:t>
            </w:r>
          </w:p>
        </w:tc>
        <w:tc>
          <w:tcPr>
            <w:tcW w:w="470" w:type="dxa"/>
            <w:tcBorders/>
            <w:vAlign w:val="center"/>
          </w:tcPr>
          <w:p>
            <w:pPr>
              <w:pStyle w:val="TableContents"/>
              <w:bidi w:val="0"/>
              <w:spacing w:before="0" w:after="283"/>
              <w:jc w:val="left"/>
              <w:rPr/>
            </w:pPr>
            <w:r>
              <w:rPr/>
              <w:t> </w:t>
            </w:r>
          </w:p>
        </w:tc>
        <w:tc>
          <w:tcPr>
            <w:tcW w:w="811" w:type="dxa"/>
            <w:tcBorders/>
            <w:vAlign w:val="center"/>
          </w:tcPr>
          <w:p>
            <w:pPr>
              <w:pStyle w:val="TableContents"/>
              <w:bidi w:val="0"/>
              <w:spacing w:before="0" w:after="283"/>
              <w:jc w:val="right"/>
              <w:rPr/>
            </w:pPr>
            <w:r>
              <w:rPr/>
              <w:t>$1,353</w:t>
            </w:r>
          </w:p>
        </w:tc>
        <w:tc>
          <w:tcPr>
            <w:tcW w:w="146"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right"/>
              <w:rPr/>
            </w:pPr>
            <w:r>
              <w:rPr>
                <w:rStyle w:val="Emphasis"/>
              </w:rPr>
              <w:t>(34%)</w:t>
            </w:r>
          </w:p>
        </w:tc>
      </w:tr>
      <w:tr>
        <w:trPr/>
        <w:tc>
          <w:tcPr>
            <w:tcW w:w="4111" w:type="dxa"/>
            <w:tcBorders/>
            <w:vAlign w:val="center"/>
          </w:tcPr>
          <w:p>
            <w:pPr>
              <w:pStyle w:val="TableContents"/>
              <w:bidi w:val="0"/>
              <w:spacing w:before="0" w:after="283"/>
              <w:jc w:val="left"/>
              <w:rPr/>
            </w:pPr>
            <w:r>
              <w:rPr/>
              <w:t> </w:t>
            </w:r>
          </w:p>
        </w:tc>
        <w:tc>
          <w:tcPr>
            <w:tcW w:w="247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p>
        </w:tc>
        <w:tc>
          <w:tcPr>
            <w:tcW w:w="8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left"/>
              <w:rPr/>
            </w:pPr>
            <w:r>
              <w:rPr/>
              <w:t> </w:t>
            </w:r>
          </w:p>
        </w:tc>
      </w:tr>
    </w:tbl>
    <w:p>
      <w:pPr>
        <w:pStyle w:val="TextBody"/>
        <w:bidi w:val="0"/>
        <w:spacing w:before="0" w:after="283"/>
        <w:jc w:val="left"/>
        <w:rPr/>
      </w:pPr>
      <w:r>
        <w:rPr/>
        <w:t>* The Company's Q2 2026 results reflect the consolidated results of the Company and Aurelion (NASDAQ: AURE) following the acquisition of a controlling interest in Aurelion on October 10, 2025, whereas Q2 2025 results represent the Company's standalone results.</w:t>
      </w:r>
    </w:p>
    <w:p>
      <w:pPr>
        <w:pStyle w:val="TextBody"/>
        <w:bidi w:val="0"/>
        <w:spacing w:before="0" w:after="283"/>
        <w:jc w:val="left"/>
        <w:rPr/>
      </w:pPr>
      <w:r>
        <w:rPr/>
        <w:t>** Please see “Non-GAAP Measures” and “Reconciliations of non-GAAP financial measures to the nearest comparable GAAP measures” below for further information on non-GAAP numbers.</w:t>
      </w:r>
    </w:p>
    <w:p>
      <w:pPr>
        <w:pStyle w:val="TextBody"/>
        <w:bidi w:val="0"/>
        <w:spacing w:before="0" w:after="283"/>
        <w:jc w:val="left"/>
        <w:rPr/>
      </w:pPr>
      <w:r>
        <w:rPr/>
        <w:t>*** Antalpha earns technology platform fees on margin loans, which it acts as an agent and assumes no principal credit exposure.</w:t>
      </w:r>
    </w:p>
    <w:p>
      <w:pPr>
        <w:pStyle w:val="TextBody"/>
        <w:bidi w:val="0"/>
        <w:spacing w:before="0" w:after="283"/>
        <w:jc w:val="left"/>
        <w:rPr/>
      </w:pPr>
      <w:r>
        <w:rPr>
          <w:rStyle w:val="StrongEmphasis"/>
        </w:rPr>
        <w:t>Second Quarter 2026 Performance Highlights</w:t>
      </w:r>
    </w:p>
    <w:p>
      <w:pPr>
        <w:pStyle w:val="TextBody"/>
        <w:numPr>
          <w:ilvl w:val="0"/>
          <w:numId w:val="2"/>
        </w:numPr>
        <w:tabs>
          <w:tab w:val="clear" w:pos="1134"/>
          <w:tab w:val="left" w:pos="720" w:leader="none"/>
        </w:tabs>
        <w:bidi w:val="0"/>
        <w:spacing w:before="0" w:after="0"/>
        <w:ind w:left="720" w:hanging="360"/>
        <w:jc w:val="left"/>
        <w:rPr/>
      </w:pPr>
      <w:r>
        <w:rPr>
          <w:rStyle w:val="StrongEmphasis"/>
        </w:rPr>
        <w:t>Revenue</w:t>
      </w:r>
      <w:r>
        <w:rPr/>
        <w:t xml:space="preserve"> </w:t>
      </w:r>
    </w:p>
    <w:p>
      <w:pPr>
        <w:pStyle w:val="TextBody"/>
        <w:numPr>
          <w:ilvl w:val="1"/>
          <w:numId w:val="2"/>
        </w:numPr>
        <w:tabs>
          <w:tab w:val="clear" w:pos="1134"/>
          <w:tab w:val="left" w:pos="1429" w:leader="none"/>
        </w:tabs>
        <w:bidi w:val="0"/>
        <w:spacing w:before="0" w:after="0"/>
        <w:ind w:left="1429" w:hanging="360"/>
        <w:jc w:val="left"/>
        <w:rPr/>
      </w:pPr>
      <w:r>
        <w:rPr/>
        <w:t>Total revenue was $12.2 million, compared with $17.0 million in the second quarter of 2025, down 28% year-over-year (“YOY”). Excluding revenue associated with the Cango facility repaid in the first quarter of 2026, revenue was $11.6 million, down approximately 15% YOY, primarily reflecting lower average loan balances across the remaining loan portfolio.</w:t>
      </w:r>
    </w:p>
    <w:p>
      <w:pPr>
        <w:pStyle w:val="TextBody"/>
        <w:numPr>
          <w:ilvl w:val="1"/>
          <w:numId w:val="2"/>
        </w:numPr>
        <w:tabs>
          <w:tab w:val="clear" w:pos="1134"/>
          <w:tab w:val="left" w:pos="1429" w:leader="none"/>
        </w:tabs>
        <w:bidi w:val="0"/>
        <w:spacing w:before="0" w:after="0"/>
        <w:ind w:left="1429" w:hanging="360"/>
        <w:jc w:val="left"/>
        <w:rPr/>
      </w:pPr>
      <w:r>
        <w:rPr/>
        <w:t>Technology financing fees were $7.7 million, down 40% YOY, primarily reflecting the wind-down of the Cango facility — substantially repaid in the first quarter of 2026 — together with lower average supply-chain loan balances.</w:t>
      </w:r>
    </w:p>
    <w:p>
      <w:pPr>
        <w:pStyle w:val="TextBody"/>
        <w:numPr>
          <w:ilvl w:val="1"/>
          <w:numId w:val="2"/>
        </w:numPr>
        <w:tabs>
          <w:tab w:val="clear" w:pos="1134"/>
          <w:tab w:val="left" w:pos="1429" w:leader="none"/>
        </w:tabs>
        <w:bidi w:val="0"/>
        <w:ind w:left="1429" w:hanging="360"/>
        <w:jc w:val="left"/>
        <w:rPr/>
      </w:pPr>
      <w:r>
        <w:rPr/>
        <w:t>Technology platform fees were $4.5 million, growing 10% YOY, primarily due to improved margin-loan pricing.</w:t>
      </w:r>
    </w:p>
    <w:p>
      <w:pPr>
        <w:pStyle w:val="TextBody"/>
        <w:numPr>
          <w:ilvl w:val="0"/>
          <w:numId w:val="2"/>
        </w:numPr>
        <w:tabs>
          <w:tab w:val="clear" w:pos="1134"/>
          <w:tab w:val="left" w:pos="720" w:leader="none"/>
        </w:tabs>
        <w:bidi w:val="0"/>
        <w:spacing w:before="0" w:after="0"/>
        <w:ind w:left="720" w:hanging="360"/>
        <w:jc w:val="left"/>
        <w:rPr/>
      </w:pPr>
      <w:r>
        <w:rPr>
          <w:rStyle w:val="StrongEmphasis"/>
        </w:rPr>
        <w:t>Risk Management &amp; Loan Portfolio</w:t>
      </w:r>
      <w:r>
        <w:rPr/>
        <w:t xml:space="preserve"> </w:t>
      </w:r>
    </w:p>
    <w:p>
      <w:pPr>
        <w:pStyle w:val="TextBody"/>
        <w:numPr>
          <w:ilvl w:val="1"/>
          <w:numId w:val="2"/>
        </w:numPr>
        <w:tabs>
          <w:tab w:val="clear" w:pos="1134"/>
          <w:tab w:val="left" w:pos="1429" w:leader="none"/>
        </w:tabs>
        <w:bidi w:val="0"/>
        <w:spacing w:before="0" w:after="0"/>
        <w:ind w:left="1429" w:hanging="360"/>
        <w:jc w:val="left"/>
        <w:rPr/>
      </w:pPr>
      <w:r>
        <w:rPr/>
        <w:t>Antalpha continued its perfect track record, having recorded no principal loss since inception, reflecting disciplined underwriting, active collateral management and a robust risk management framework.</w:t>
      </w:r>
    </w:p>
    <w:p>
      <w:pPr>
        <w:pStyle w:val="TextBody"/>
        <w:numPr>
          <w:ilvl w:val="1"/>
          <w:numId w:val="2"/>
        </w:numPr>
        <w:tabs>
          <w:tab w:val="clear" w:pos="1134"/>
          <w:tab w:val="left" w:pos="1429" w:leader="none"/>
        </w:tabs>
        <w:bidi w:val="0"/>
        <w:ind w:left="1429" w:hanging="360"/>
        <w:jc w:val="left"/>
        <w:rPr/>
      </w:pPr>
      <w:r>
        <w:rPr/>
        <w:t>Total Value of Loans ("TVL") facilitated was $1.35 billion as of June 30, 2026, compared with $1.71 billion as of March 31, 2026, and $2.05 billion as of June 30, 2025, reflecting selective capital deployment and lower financing activity during the quarter.</w:t>
      </w:r>
    </w:p>
    <w:p>
      <w:pPr>
        <w:pStyle w:val="TextBody"/>
        <w:numPr>
          <w:ilvl w:val="0"/>
          <w:numId w:val="2"/>
        </w:numPr>
        <w:tabs>
          <w:tab w:val="clear" w:pos="1134"/>
          <w:tab w:val="left" w:pos="720" w:leader="none"/>
        </w:tabs>
        <w:bidi w:val="0"/>
        <w:spacing w:before="0" w:after="0"/>
        <w:ind w:left="720" w:hanging="360"/>
        <w:jc w:val="left"/>
        <w:rPr/>
      </w:pPr>
      <w:r>
        <w:rPr>
          <w:rStyle w:val="StrongEmphasis"/>
        </w:rPr>
        <w:t>Lending Economics</w:t>
      </w:r>
    </w:p>
    <w:p>
      <w:pPr>
        <w:pStyle w:val="TextBody"/>
        <w:numPr>
          <w:ilvl w:val="1"/>
          <w:numId w:val="2"/>
        </w:numPr>
        <w:tabs>
          <w:tab w:val="clear" w:pos="1134"/>
          <w:tab w:val="left" w:pos="1429" w:leader="none"/>
        </w:tabs>
        <w:bidi w:val="0"/>
        <w:spacing w:before="0" w:after="0"/>
        <w:ind w:left="1429" w:hanging="360"/>
        <w:jc w:val="left"/>
        <w:rPr/>
      </w:pPr>
      <w:r>
        <w:rPr/>
        <w:t>Net fee margin increased by approximately 10 basis points YOY, primarily driven by improved pricing in the Company's margin loan business.</w:t>
      </w:r>
    </w:p>
    <w:p>
      <w:pPr>
        <w:pStyle w:val="TextBody"/>
        <w:numPr>
          <w:ilvl w:val="1"/>
          <w:numId w:val="2"/>
        </w:numPr>
        <w:tabs>
          <w:tab w:val="clear" w:pos="1134"/>
          <w:tab w:val="left" w:pos="1429" w:leader="none"/>
        </w:tabs>
        <w:bidi w:val="0"/>
        <w:ind w:left="1429" w:hanging="360"/>
        <w:jc w:val="left"/>
        <w:rPr/>
      </w:pPr>
      <w:r>
        <w:rPr/>
        <w:t>Funding costs remained broadly stable at 68% of technology financing fees, compared with 67% in the second quarter of 2025.</w:t>
      </w:r>
    </w:p>
    <w:p>
      <w:pPr>
        <w:pStyle w:val="TextBody"/>
        <w:numPr>
          <w:ilvl w:val="0"/>
          <w:numId w:val="2"/>
        </w:numPr>
        <w:tabs>
          <w:tab w:val="clear" w:pos="1134"/>
          <w:tab w:val="left" w:pos="720" w:leader="none"/>
        </w:tabs>
        <w:bidi w:val="0"/>
        <w:spacing w:before="0" w:after="0"/>
        <w:ind w:left="720" w:hanging="360"/>
        <w:jc w:val="left"/>
        <w:rPr/>
      </w:pPr>
      <w:r>
        <w:rPr>
          <w:rStyle w:val="StrongEmphasis"/>
        </w:rPr>
        <w:t>Profitability</w:t>
      </w:r>
    </w:p>
    <w:p>
      <w:pPr>
        <w:pStyle w:val="TextBody"/>
        <w:numPr>
          <w:ilvl w:val="1"/>
          <w:numId w:val="2"/>
        </w:numPr>
        <w:tabs>
          <w:tab w:val="clear" w:pos="1134"/>
          <w:tab w:val="left" w:pos="1429" w:leader="none"/>
        </w:tabs>
        <w:bidi w:val="0"/>
        <w:spacing w:before="0" w:after="0"/>
        <w:ind w:left="1429" w:hanging="360"/>
        <w:jc w:val="left"/>
        <w:rPr/>
      </w:pPr>
      <w:r>
        <w:rPr/>
        <w:t>Operating expenses, excluding fair-value loss on crypto assets, were $15.0 million, down 14% YOY. The total included funding costs of $5.3 million and $1.3 million of non-cash share-based compensation.</w:t>
      </w:r>
    </w:p>
    <w:p>
      <w:pPr>
        <w:pStyle w:val="TextBody"/>
        <w:numPr>
          <w:ilvl w:val="1"/>
          <w:numId w:val="2"/>
        </w:numPr>
        <w:tabs>
          <w:tab w:val="clear" w:pos="1134"/>
          <w:tab w:val="left" w:pos="1429" w:leader="none"/>
        </w:tabs>
        <w:bidi w:val="0"/>
        <w:spacing w:before="0" w:after="0"/>
        <w:ind w:left="1429" w:hanging="360"/>
        <w:jc w:val="left"/>
        <w:rPr/>
      </w:pPr>
      <w:r>
        <w:rPr/>
        <w:t>Operating loss was $25.1 million, compared with operating loss of $0.5 million in the prior year period. The increase primarily reflected $22.3 million of fair-value loss on XAUt and XAUE holdings by Aurelion.</w:t>
      </w:r>
    </w:p>
    <w:p>
      <w:pPr>
        <w:pStyle w:val="TextBody"/>
        <w:numPr>
          <w:ilvl w:val="1"/>
          <w:numId w:val="2"/>
        </w:numPr>
        <w:tabs>
          <w:tab w:val="clear" w:pos="1134"/>
          <w:tab w:val="left" w:pos="1429" w:leader="none"/>
        </w:tabs>
        <w:bidi w:val="0"/>
        <w:spacing w:before="0" w:after="0"/>
        <w:ind w:left="1429" w:hanging="360"/>
        <w:jc w:val="left"/>
        <w:rPr/>
      </w:pPr>
      <w:r>
        <w:rPr/>
        <w:t>Net loss attributable to Antalpha was $12.5 million, compared with net income of $0.7 million in the second quarter of 2025.</w:t>
      </w:r>
    </w:p>
    <w:p>
      <w:pPr>
        <w:pStyle w:val="TextBody"/>
        <w:numPr>
          <w:ilvl w:val="1"/>
          <w:numId w:val="2"/>
        </w:numPr>
        <w:tabs>
          <w:tab w:val="clear" w:pos="1134"/>
          <w:tab w:val="left" w:pos="1429" w:leader="none"/>
        </w:tabs>
        <w:bidi w:val="0"/>
        <w:ind w:left="1429" w:hanging="360"/>
        <w:jc w:val="left"/>
        <w:rPr/>
      </w:pPr>
      <w:r>
        <w:rPr/>
        <w:t>Adjusted EBITDA loss was $27.4 million, with the vast majority comprising $26.2 million in fair-value loss related to XAUt and XAUE holdings.</w:t>
      </w:r>
    </w:p>
    <w:p>
      <w:pPr>
        <w:pStyle w:val="TextBody"/>
        <w:numPr>
          <w:ilvl w:val="0"/>
          <w:numId w:val="2"/>
        </w:numPr>
        <w:tabs>
          <w:tab w:val="clear" w:pos="1134"/>
          <w:tab w:val="left" w:pos="720" w:leader="none"/>
        </w:tabs>
        <w:bidi w:val="0"/>
        <w:spacing w:before="0" w:after="0"/>
        <w:ind w:left="720" w:hanging="360"/>
        <w:jc w:val="left"/>
        <w:rPr/>
      </w:pPr>
      <w:r>
        <w:rPr>
          <w:rStyle w:val="StrongEmphasis"/>
        </w:rPr>
        <w:t>Nina</w:t>
      </w:r>
      <w:r>
        <w:rPr/>
        <w:t xml:space="preserve"> </w:t>
      </w:r>
    </w:p>
    <w:p>
      <w:pPr>
        <w:pStyle w:val="TextBody"/>
        <w:numPr>
          <w:ilvl w:val="1"/>
          <w:numId w:val="2"/>
        </w:numPr>
        <w:tabs>
          <w:tab w:val="clear" w:pos="1134"/>
          <w:tab w:val="left" w:pos="1429" w:leader="none"/>
        </w:tabs>
        <w:bidi w:val="0"/>
        <w:spacing w:before="0" w:after="0"/>
        <w:ind w:left="1429" w:hanging="360"/>
        <w:jc w:val="left"/>
        <w:rPr/>
      </w:pPr>
      <w:r>
        <w:rPr/>
        <w:t>During Q2, Nina, Antalpha's Web3 AI agent, advanced several critical product workflow enhancements and expanded its public availability across both the iOS and Android application ecosystems.</w:t>
      </w:r>
    </w:p>
    <w:p>
      <w:pPr>
        <w:pStyle w:val="TextBody"/>
        <w:numPr>
          <w:ilvl w:val="1"/>
          <w:numId w:val="2"/>
        </w:numPr>
        <w:tabs>
          <w:tab w:val="clear" w:pos="1134"/>
          <w:tab w:val="left" w:pos="1429" w:leader="none"/>
        </w:tabs>
        <w:bidi w:val="0"/>
        <w:ind w:left="1429" w:hanging="360"/>
        <w:jc w:val="left"/>
        <w:rPr/>
      </w:pPr>
      <w:r>
        <w:rPr/>
        <w:t>Nina now has several thousand registered users across its website and mobile applications. More than half of registered users completed at least one core product interaction, demonstrating encouraging early user engagement during the product validation stage.</w:t>
      </w:r>
    </w:p>
    <w:p>
      <w:pPr>
        <w:pStyle w:val="TextBody"/>
        <w:bidi w:val="0"/>
        <w:spacing w:before="0" w:after="283"/>
        <w:jc w:val="left"/>
        <w:rPr/>
      </w:pPr>
      <w:r>
        <w:rPr>
          <w:rStyle w:val="StrongEmphasis"/>
        </w:rPr>
        <w:t>Outlook</w:t>
      </w:r>
      <w:r>
        <w:rPr/>
        <w:br/>
        <w:t>Antalpha expects Q3 2026 revenue between $10 million and $12 million. The Company’s guidance assumes solid demand for crypto-collateralized financing, with market conditions remaining broadly consistent with recent trends.</w:t>
      </w:r>
    </w:p>
    <w:p>
      <w:pPr>
        <w:pStyle w:val="TextBody"/>
        <w:bidi w:val="0"/>
        <w:spacing w:before="0" w:after="283"/>
        <w:jc w:val="left"/>
        <w:rPr/>
      </w:pPr>
      <w:r>
        <w:rPr/>
        <w:t>This forecast reflects Antalpha’s current preliminary view, which is subject to substantial risks and uncertainties. The Company is not obligated to update any forward-looking statements, except as required by law.</w:t>
      </w:r>
    </w:p>
    <w:p>
      <w:pPr>
        <w:pStyle w:val="TextBody"/>
        <w:bidi w:val="0"/>
        <w:spacing w:before="0" w:after="283"/>
        <w:jc w:val="left"/>
        <w:rPr/>
      </w:pPr>
      <w:r>
        <w:rPr>
          <w:rStyle w:val="StrongEmphasis"/>
        </w:rPr>
        <w:t>Conference Call Information</w:t>
      </w:r>
      <w:r>
        <w:rPr/>
        <w:br/>
        <w:t>Antalpha’s management will host a conference call today, August 19, 2026, at 8:00 a.m. Eastern Time to discuss the Company’s financial results.</w:t>
      </w:r>
    </w:p>
    <w:p>
      <w:pPr>
        <w:pStyle w:val="TextBody"/>
        <w:bidi w:val="0"/>
        <w:spacing w:before="0" w:after="283"/>
        <w:jc w:val="left"/>
        <w:rPr/>
      </w:pPr>
      <w:r>
        <w:rPr/>
        <w:t>To attend, please register in advance at: https://register-conf.media-server.com/register/BI30b4078217764c03a7ad0976eca109c1.</w:t>
      </w:r>
    </w:p>
    <w:p>
      <w:pPr>
        <w:pStyle w:val="TextBody"/>
        <w:bidi w:val="0"/>
        <w:spacing w:before="0" w:after="283"/>
        <w:jc w:val="left"/>
        <w:rPr/>
      </w:pPr>
      <w:r>
        <w:rPr/>
        <w:t>Upon registration, you will receive a calendar invite email that includes dial-in number, passcode, and your unique access PIN.</w:t>
      </w:r>
    </w:p>
    <w:p>
      <w:pPr>
        <w:pStyle w:val="TextBody"/>
        <w:bidi w:val="0"/>
        <w:spacing w:before="0" w:after="283"/>
        <w:jc w:val="left"/>
        <w:rPr/>
      </w:pPr>
      <w:r>
        <w:rPr/>
        <w:t>A live webcast can be accessed at https://edge.media-server.com/mmc/p/bgbc86kj.</w:t>
      </w:r>
    </w:p>
    <w:p>
      <w:pPr>
        <w:pStyle w:val="TextBody"/>
        <w:bidi w:val="0"/>
        <w:spacing w:before="0" w:after="283"/>
        <w:jc w:val="left"/>
        <w:rPr/>
      </w:pPr>
      <w:r>
        <w:rPr/>
        <w:t>A replay of the call will also be available on the Company’s investor relations website at https://ir.antalpha.com.</w:t>
      </w:r>
    </w:p>
    <w:p>
      <w:pPr>
        <w:pStyle w:val="TextBody"/>
        <w:bidi w:val="0"/>
        <w:spacing w:before="0" w:after="283"/>
        <w:jc w:val="left"/>
        <w:rPr/>
      </w:pPr>
      <w:r>
        <w:rPr>
          <w:rStyle w:val="StrongEmphasis"/>
        </w:rPr>
        <w:t>Non-GAAP Measures</w:t>
      </w:r>
      <w:r>
        <w:rPr/>
        <w:br/>
        <w:t>In addition to financial measures presented under generally accepted accounting principles in the United States, or GAAP, Antalpha evaluates non-GAAP financial measures such as non-GAAP operating income, adjusted EBITDA and adjusted EBITDA margin.</w:t>
      </w:r>
    </w:p>
    <w:p>
      <w:pPr>
        <w:pStyle w:val="TextBody"/>
        <w:bidi w:val="0"/>
        <w:spacing w:before="0" w:after="283"/>
        <w:jc w:val="left"/>
        <w:rPr/>
      </w:pPr>
      <w:r>
        <w:rPr/>
        <w:t>The Company believes these adjustments eliminate the effects of certain non-cash and/or non-recurring items that the Company believes complements management’s understanding of its ongoing operational results. However, non-GAAP measures are presented for supplemental informational purposes only, have limitations as an analytical tool, and should not be considered in isolation or as a substitute for financial information presented in accordance with GAAP. In addition, other companies, including companies in its industry, may calculate similarly titled non-GAAP measures differently or may use other measures to evaluate their performance, all of which could reduce the usefulness of its non-GAAP financial measures as tools for comparison. Antalpha will continually evaluate the usefulness of such metrics. The Company believes that non-GAAP measures may be helpful to investors, because they provide consistency and comparability with past financial performance and with how management views its financial performance.</w:t>
      </w:r>
    </w:p>
    <w:p>
      <w:pPr>
        <w:pStyle w:val="TextBody"/>
        <w:bidi w:val="0"/>
        <w:spacing w:before="0" w:after="283"/>
        <w:jc w:val="left"/>
        <w:rPr/>
      </w:pPr>
      <w:r>
        <w:rPr/>
        <w:t>Non-GAAP operating income represents operating income before share-based compensation expenses and one-time restructuring charges. Non-GAAP operating margin represents the ratio between non-GAAP operating income and revenue.</w:t>
      </w:r>
    </w:p>
    <w:p>
      <w:pPr>
        <w:pStyle w:val="TextBody"/>
        <w:bidi w:val="0"/>
        <w:spacing w:before="0" w:after="283"/>
        <w:jc w:val="left"/>
        <w:rPr/>
      </w:pPr>
      <w:r>
        <w:rPr/>
        <w:t>Adjusted EBITDA (non-GAAP) represents net income before interest (if non-operating), taxes, depreciation and amortization, share-based compensation expenses, and one-time restructuring charges, and includes unrealized gains or losses on crypto assets. The Company’s funding cost is an operating item and a significant component of its business. As such, it is not excluded from adjusted EBITDA. Adjusted EBITDA Margin represents the ratio between adjusted EBITDA and revenue.</w:t>
      </w:r>
    </w:p>
    <w:p>
      <w:pPr>
        <w:pStyle w:val="TextBody"/>
        <w:bidi w:val="0"/>
        <w:spacing w:before="0" w:after="283"/>
        <w:jc w:val="left"/>
        <w:rPr/>
      </w:pPr>
      <w:r>
        <w:rPr/>
        <w:t>For more information on non-GAAP financial measures, please see “Reconciliations of non-GAAP financial measures to the nearest comparable GAAP measures.”</w:t>
      </w:r>
    </w:p>
    <w:p>
      <w:pPr>
        <w:pStyle w:val="TextBody"/>
        <w:bidi w:val="0"/>
        <w:spacing w:before="0" w:after="283"/>
        <w:jc w:val="left"/>
        <w:rPr/>
      </w:pPr>
      <w:r>
        <w:rPr>
          <w:rStyle w:val="StrongEmphasis"/>
        </w:rPr>
        <w:t>About Antalpha</w:t>
      </w:r>
      <w:r>
        <w:rPr/>
        <w:br/>
        <w:t>Antalpha is a leading fintech company specializing in providing financing, technology, and risk management solutions to the Web3 industry. Antalpha offers Bitcoin supply chain and margin loans through the Antalpha Prime technology platform, which allows customers to originate and manage their digital assets loans, as well as monitor collateral positions with near real-time data. Building on this foundation, Antalpha is also exploring AI-powered tools to help users navigate the digital asset space more effectively.</w:t>
      </w:r>
    </w:p>
    <w:p>
      <w:pPr>
        <w:pStyle w:val="TextBody"/>
        <w:bidi w:val="0"/>
        <w:spacing w:before="0" w:after="283"/>
        <w:jc w:val="left"/>
        <w:rPr/>
      </w:pPr>
      <w:r>
        <w:rPr>
          <w:rStyle w:val="StrongEmphasis"/>
        </w:rPr>
        <w:t>Forward-Looking Statements</w:t>
      </w:r>
      <w:r>
        <w:rPr/>
        <w:br/>
        <w:t>This press release contains statements that may constitute “forward-looking” statements pursuant to the “safe harbor” provisions of the U.S. Private Securities Litigation Reform Act of 1995. These forward-looking statements can be identified by terminology such as “will,” “expects,” “anticipates,” “aims,” “future,” “intends,” “plans,” “believes,” “estimates,” “likely to,” and similar statements. Statements that are not historical facts, including statements about Antalpha’s beliefs, plans, and expectations, are forward-looking statements. Forward-looking statements involve inherent risks and uncertainties. Further information regarding these and other risks is included in Antalpha’s filings with the SEC. All information provided in this press release is as of the date of this press release, and Antalpha does not undertake any obligation to update any forward-looking statement, except as required under applicable law.</w:t>
      </w:r>
    </w:p>
    <w:p>
      <w:pPr>
        <w:pStyle w:val="TextBody"/>
        <w:bidi w:val="0"/>
        <w:spacing w:before="0" w:after="283"/>
        <w:jc w:val="left"/>
        <w:rPr/>
      </w:pPr>
      <w:r>
        <w:rPr>
          <w:rStyle w:val="StrongEmphasis"/>
        </w:rPr>
        <w:t>Contacts</w:t>
      </w:r>
      <w:r>
        <w:rPr/>
        <w:br/>
        <w:t>Investor Contact: ir@antalpha.com</w:t>
      </w:r>
    </w:p>
    <w:p>
      <w:pPr>
        <w:pStyle w:val="TextBody"/>
        <w:bidi w:val="0"/>
        <w:jc w:val="center"/>
        <w:rPr/>
      </w:pPr>
      <w:r>
        <w:rPr/>
      </w:r>
    </w:p>
    <w:tbl>
      <w:tblPr>
        <w:tblW w:w="9948" w:type="dxa"/>
        <w:jc w:val="left"/>
        <w:tblInd w:w="0" w:type="dxa"/>
        <w:tblLayout w:type="fixed"/>
        <w:tblCellMar>
          <w:top w:w="28" w:type="dxa"/>
          <w:left w:w="28" w:type="dxa"/>
          <w:bottom w:w="28" w:type="dxa"/>
          <w:right w:w="28" w:type="dxa"/>
        </w:tblCellMar>
      </w:tblPr>
      <w:tblGrid>
        <w:gridCol w:w="6271"/>
        <w:gridCol w:w="2086"/>
        <w:gridCol w:w="1591"/>
      </w:tblGrid>
      <w:tr>
        <w:trPr/>
        <w:tc>
          <w:tcPr>
            <w:tcW w:w="9948" w:type="dxa"/>
            <w:gridSpan w:val="3"/>
            <w:tcBorders/>
            <w:vAlign w:val="center"/>
          </w:tcPr>
          <w:p>
            <w:pPr>
              <w:pStyle w:val="TableContents"/>
              <w:bidi w:val="0"/>
              <w:spacing w:before="0" w:after="283"/>
              <w:jc w:val="center"/>
              <w:rPr/>
            </w:pPr>
            <w:r>
              <w:rPr>
                <w:rStyle w:val="StrongEmphasis"/>
              </w:rPr>
              <w:t>Antalpha Platform Holding Company</w:t>
              <w:br/>
              <w:t>Condensed Combined and Consolidated Balance Sheets</w:t>
              <w:br/>
            </w:r>
            <w:r>
              <w:rPr/>
              <w:t>(in USD, unaudited)</w:t>
            </w:r>
          </w:p>
        </w:tc>
      </w:tr>
      <w:tr>
        <w:trPr/>
        <w:tc>
          <w:tcPr>
            <w:tcW w:w="6271" w:type="dxa"/>
            <w:tcBorders/>
            <w:vAlign w:val="center"/>
          </w:tcPr>
          <w:p>
            <w:pPr>
              <w:pStyle w:val="TableContents"/>
              <w:bidi w:val="0"/>
              <w:spacing w:before="0" w:after="283"/>
              <w:jc w:val="right"/>
              <w:rPr/>
            </w:pPr>
            <w:r>
              <w:rPr/>
              <w:t> </w:t>
            </w:r>
          </w:p>
        </w:tc>
        <w:tc>
          <w:tcPr>
            <w:tcW w:w="2086" w:type="dxa"/>
            <w:tcBorders/>
            <w:vAlign w:val="center"/>
          </w:tcPr>
          <w:p>
            <w:pPr>
              <w:pStyle w:val="TableContents"/>
              <w:bidi w:val="0"/>
              <w:spacing w:before="0" w:after="283"/>
              <w:jc w:val="center"/>
              <w:rPr/>
            </w:pPr>
            <w:r>
              <w:rPr>
                <w:rStyle w:val="StrongEmphasis"/>
              </w:rPr>
              <w:t>As of December 31,</w:t>
            </w:r>
          </w:p>
        </w:tc>
        <w:tc>
          <w:tcPr>
            <w:tcW w:w="1591" w:type="dxa"/>
            <w:tcBorders/>
            <w:vAlign w:val="center"/>
          </w:tcPr>
          <w:p>
            <w:pPr>
              <w:pStyle w:val="TableContents"/>
              <w:bidi w:val="0"/>
              <w:spacing w:before="0" w:after="283"/>
              <w:jc w:val="center"/>
              <w:rPr/>
            </w:pPr>
            <w:r>
              <w:rPr>
                <w:rStyle w:val="StrongEmphasis"/>
              </w:rPr>
              <w:t>As of June 30,</w:t>
            </w:r>
          </w:p>
        </w:tc>
      </w:tr>
      <w:tr>
        <w:trPr/>
        <w:tc>
          <w:tcPr>
            <w:tcW w:w="6271" w:type="dxa"/>
            <w:tcBorders/>
            <w:vAlign w:val="center"/>
          </w:tcPr>
          <w:p>
            <w:pPr>
              <w:pStyle w:val="TableContents"/>
              <w:bidi w:val="0"/>
              <w:spacing w:before="0" w:after="283"/>
              <w:jc w:val="right"/>
              <w:rPr/>
            </w:pPr>
            <w:r>
              <w:rPr/>
              <w:t> </w:t>
            </w:r>
          </w:p>
        </w:tc>
        <w:tc>
          <w:tcPr>
            <w:tcW w:w="2086" w:type="dxa"/>
            <w:tcBorders/>
            <w:vAlign w:val="center"/>
          </w:tcPr>
          <w:p>
            <w:pPr>
              <w:pStyle w:val="TableContents"/>
              <w:bidi w:val="0"/>
              <w:spacing w:before="0" w:after="283"/>
              <w:jc w:val="center"/>
              <w:rPr/>
            </w:pPr>
            <w:r>
              <w:rPr>
                <w:rStyle w:val="StrongEmphasis"/>
              </w:rPr>
              <w:t>2025</w:t>
            </w:r>
          </w:p>
        </w:tc>
        <w:tc>
          <w:tcPr>
            <w:tcW w:w="1591" w:type="dxa"/>
            <w:tcBorders/>
            <w:vAlign w:val="center"/>
          </w:tcPr>
          <w:p>
            <w:pPr>
              <w:pStyle w:val="TableContents"/>
              <w:bidi w:val="0"/>
              <w:spacing w:before="0" w:after="283"/>
              <w:jc w:val="center"/>
              <w:rPr/>
            </w:pPr>
            <w:r>
              <w:rPr>
                <w:rStyle w:val="StrongEmphasis"/>
              </w:rPr>
              <w:t>2026</w:t>
            </w:r>
          </w:p>
        </w:tc>
      </w:tr>
      <w:tr>
        <w:trPr/>
        <w:tc>
          <w:tcPr>
            <w:tcW w:w="6271" w:type="dxa"/>
            <w:tcBorders/>
            <w:vAlign w:val="center"/>
          </w:tcPr>
          <w:p>
            <w:pPr>
              <w:pStyle w:val="TableContents"/>
              <w:bidi w:val="0"/>
              <w:spacing w:before="0" w:after="283"/>
              <w:jc w:val="left"/>
              <w:rPr/>
            </w:pPr>
            <w:r>
              <w:rPr>
                <w:rStyle w:val="StrongEmphasis"/>
              </w:rPr>
              <w:t>Assets</w:t>
            </w:r>
          </w:p>
        </w:tc>
        <w:tc>
          <w:tcPr>
            <w:tcW w:w="2086" w:type="dxa"/>
            <w:tcBorders/>
            <w:vAlign w:val="center"/>
          </w:tcPr>
          <w:p>
            <w:pPr>
              <w:pStyle w:val="TableContents"/>
              <w:bidi w:val="0"/>
              <w:spacing w:before="0" w:after="283"/>
              <w:jc w:val="right"/>
              <w:rPr/>
            </w:pPr>
            <w:r>
              <w:rPr/>
              <w:t> </w:t>
            </w:r>
          </w:p>
        </w:tc>
        <w:tc>
          <w:tcPr>
            <w:tcW w:w="1591" w:type="dxa"/>
            <w:tcBorders/>
            <w:vAlign w:val="center"/>
          </w:tcPr>
          <w:p>
            <w:pPr>
              <w:pStyle w:val="TableContents"/>
              <w:bidi w:val="0"/>
              <w:spacing w:before="0" w:after="283"/>
              <w:jc w:val="right"/>
              <w:rPr/>
            </w:pPr>
            <w:r>
              <w:rPr/>
              <w:t> </w:t>
            </w:r>
          </w:p>
        </w:tc>
      </w:tr>
      <w:tr>
        <w:trPr/>
        <w:tc>
          <w:tcPr>
            <w:tcW w:w="6271" w:type="dxa"/>
            <w:tcBorders/>
            <w:vAlign w:val="center"/>
          </w:tcPr>
          <w:p>
            <w:pPr>
              <w:pStyle w:val="TableContents"/>
              <w:bidi w:val="0"/>
              <w:spacing w:before="0" w:after="283"/>
              <w:jc w:val="left"/>
              <w:rPr/>
            </w:pPr>
            <w:r>
              <w:rPr>
                <w:rStyle w:val="StrongEmphasis"/>
              </w:rPr>
              <w:t>Current assets:</w:t>
            </w:r>
          </w:p>
        </w:tc>
        <w:tc>
          <w:tcPr>
            <w:tcW w:w="2086" w:type="dxa"/>
            <w:tcBorders/>
            <w:vAlign w:val="center"/>
          </w:tcPr>
          <w:p>
            <w:pPr>
              <w:pStyle w:val="TableContents"/>
              <w:bidi w:val="0"/>
              <w:spacing w:before="0" w:after="283"/>
              <w:jc w:val="right"/>
              <w:rPr/>
            </w:pPr>
            <w:r>
              <w:rPr/>
              <w:t> </w:t>
            </w:r>
          </w:p>
        </w:tc>
        <w:tc>
          <w:tcPr>
            <w:tcW w:w="1591" w:type="dxa"/>
            <w:tcBorders/>
            <w:vAlign w:val="center"/>
          </w:tcPr>
          <w:p>
            <w:pPr>
              <w:pStyle w:val="TableContents"/>
              <w:bidi w:val="0"/>
              <w:spacing w:before="0" w:after="283"/>
              <w:jc w:val="right"/>
              <w:rPr/>
            </w:pPr>
            <w:r>
              <w:rPr/>
              <w:t> </w:t>
            </w:r>
          </w:p>
        </w:tc>
      </w:tr>
      <w:tr>
        <w:trPr/>
        <w:tc>
          <w:tcPr>
            <w:tcW w:w="6271" w:type="dxa"/>
            <w:tcBorders/>
            <w:tcMar>
              <w:top w:w="0" w:type="dxa"/>
              <w:left w:w="0" w:type="dxa"/>
              <w:bottom w:w="0" w:type="dxa"/>
              <w:right w:w="0" w:type="dxa"/>
            </w:tcMar>
            <w:vAlign w:val="center"/>
          </w:tcPr>
          <w:p>
            <w:pPr>
              <w:pStyle w:val="TableContents"/>
              <w:bidi w:val="0"/>
              <w:spacing w:before="0" w:after="283"/>
              <w:jc w:val="left"/>
              <w:rPr/>
            </w:pPr>
            <w:r>
              <w:rPr/>
              <w:t>Cash and cash equivalents</w:t>
            </w:r>
          </w:p>
        </w:tc>
        <w:tc>
          <w:tcPr>
            <w:tcW w:w="2086" w:type="dxa"/>
            <w:tcBorders/>
            <w:vAlign w:val="center"/>
          </w:tcPr>
          <w:p>
            <w:pPr>
              <w:pStyle w:val="TableContents"/>
              <w:bidi w:val="0"/>
              <w:spacing w:before="0" w:after="283"/>
              <w:jc w:val="right"/>
              <w:rPr/>
            </w:pPr>
            <w:r>
              <w:rPr/>
              <w:t>7,850,170</w:t>
            </w:r>
          </w:p>
        </w:tc>
        <w:tc>
          <w:tcPr>
            <w:tcW w:w="1591" w:type="dxa"/>
            <w:tcBorders/>
            <w:vAlign w:val="center"/>
          </w:tcPr>
          <w:p>
            <w:pPr>
              <w:pStyle w:val="TableContents"/>
              <w:bidi w:val="0"/>
              <w:spacing w:before="0" w:after="283"/>
              <w:jc w:val="right"/>
              <w:rPr/>
            </w:pPr>
            <w:r>
              <w:rPr/>
              <w:t>4,309,883</w:t>
            </w:r>
          </w:p>
        </w:tc>
      </w:tr>
      <w:tr>
        <w:trPr/>
        <w:tc>
          <w:tcPr>
            <w:tcW w:w="6271" w:type="dxa"/>
            <w:tcBorders/>
            <w:tcMar>
              <w:top w:w="0" w:type="dxa"/>
              <w:left w:w="0" w:type="dxa"/>
              <w:bottom w:w="0" w:type="dxa"/>
              <w:right w:w="0" w:type="dxa"/>
            </w:tcMar>
            <w:vAlign w:val="center"/>
          </w:tcPr>
          <w:p>
            <w:pPr>
              <w:pStyle w:val="TableContents"/>
              <w:bidi w:val="0"/>
              <w:spacing w:before="0" w:after="283"/>
              <w:jc w:val="left"/>
              <w:rPr/>
            </w:pPr>
            <w:r>
              <w:rPr/>
              <w:t>Crypto assets held (including USDC)</w:t>
            </w:r>
          </w:p>
        </w:tc>
        <w:tc>
          <w:tcPr>
            <w:tcW w:w="2086" w:type="dxa"/>
            <w:tcBorders/>
            <w:vAlign w:val="center"/>
          </w:tcPr>
          <w:p>
            <w:pPr>
              <w:pStyle w:val="TableContents"/>
              <w:bidi w:val="0"/>
              <w:spacing w:before="0" w:after="283"/>
              <w:jc w:val="right"/>
              <w:rPr/>
            </w:pPr>
            <w:r>
              <w:rPr/>
              <w:t>12,619,660</w:t>
            </w:r>
          </w:p>
        </w:tc>
        <w:tc>
          <w:tcPr>
            <w:tcW w:w="1591" w:type="dxa"/>
            <w:tcBorders/>
            <w:vAlign w:val="center"/>
          </w:tcPr>
          <w:p>
            <w:pPr>
              <w:pStyle w:val="TableContents"/>
              <w:bidi w:val="0"/>
              <w:spacing w:before="0" w:after="283"/>
              <w:jc w:val="right"/>
              <w:rPr/>
            </w:pPr>
            <w:r>
              <w:rPr/>
              <w:t>18,772,107</w:t>
            </w:r>
          </w:p>
        </w:tc>
      </w:tr>
      <w:tr>
        <w:trPr/>
        <w:tc>
          <w:tcPr>
            <w:tcW w:w="6271" w:type="dxa"/>
            <w:tcBorders/>
            <w:tcMar>
              <w:top w:w="0" w:type="dxa"/>
              <w:left w:w="0" w:type="dxa"/>
              <w:bottom w:w="0" w:type="dxa"/>
              <w:right w:w="0" w:type="dxa"/>
            </w:tcMar>
            <w:vAlign w:val="center"/>
          </w:tcPr>
          <w:p>
            <w:pPr>
              <w:pStyle w:val="TableContents"/>
              <w:bidi w:val="0"/>
              <w:spacing w:before="0" w:after="283"/>
              <w:jc w:val="left"/>
              <w:rPr/>
            </w:pPr>
            <w:r>
              <w:rPr/>
              <w:t>XAUt</w:t>
            </w:r>
          </w:p>
        </w:tc>
        <w:tc>
          <w:tcPr>
            <w:tcW w:w="2086" w:type="dxa"/>
            <w:tcBorders/>
            <w:vAlign w:val="center"/>
          </w:tcPr>
          <w:p>
            <w:pPr>
              <w:pStyle w:val="TableContents"/>
              <w:bidi w:val="0"/>
              <w:spacing w:before="0" w:after="283"/>
              <w:jc w:val="right"/>
              <w:rPr/>
            </w:pPr>
            <w:r>
              <w:rPr/>
              <w:t>72,476,837</w:t>
            </w:r>
          </w:p>
        </w:tc>
        <w:tc>
          <w:tcPr>
            <w:tcW w:w="1591" w:type="dxa"/>
            <w:tcBorders/>
            <w:vAlign w:val="center"/>
          </w:tcPr>
          <w:p>
            <w:pPr>
              <w:pStyle w:val="TableContents"/>
              <w:bidi w:val="0"/>
              <w:spacing w:before="0" w:after="283"/>
              <w:jc w:val="right"/>
              <w:rPr/>
            </w:pPr>
            <w:r>
              <w:rPr/>
              <w:t>34,789,737</w:t>
            </w:r>
          </w:p>
        </w:tc>
      </w:tr>
      <w:tr>
        <w:trPr/>
        <w:tc>
          <w:tcPr>
            <w:tcW w:w="6271" w:type="dxa"/>
            <w:tcBorders/>
            <w:tcMar>
              <w:top w:w="0" w:type="dxa"/>
              <w:left w:w="0" w:type="dxa"/>
              <w:bottom w:w="0" w:type="dxa"/>
              <w:right w:w="0" w:type="dxa"/>
            </w:tcMar>
            <w:vAlign w:val="center"/>
          </w:tcPr>
          <w:p>
            <w:pPr>
              <w:pStyle w:val="TableContents"/>
              <w:bidi w:val="0"/>
              <w:spacing w:before="0" w:after="283"/>
              <w:jc w:val="left"/>
              <w:rPr/>
            </w:pPr>
            <w:r>
              <w:rPr/>
              <w:t>XAUE</w:t>
            </w:r>
          </w:p>
        </w:tc>
        <w:tc>
          <w:tcPr>
            <w:tcW w:w="2086" w:type="dxa"/>
            <w:tcBorders/>
            <w:vAlign w:val="center"/>
          </w:tcPr>
          <w:p>
            <w:pPr>
              <w:pStyle w:val="TableContents"/>
              <w:bidi w:val="0"/>
              <w:spacing w:before="0" w:after="283"/>
              <w:jc w:val="right"/>
              <w:rPr/>
            </w:pPr>
            <w:r>
              <w:rPr/>
              <w:t>—</w:t>
            </w:r>
          </w:p>
        </w:tc>
        <w:tc>
          <w:tcPr>
            <w:tcW w:w="1591" w:type="dxa"/>
            <w:tcBorders/>
            <w:vAlign w:val="center"/>
          </w:tcPr>
          <w:p>
            <w:pPr>
              <w:pStyle w:val="TableContents"/>
              <w:bidi w:val="0"/>
              <w:spacing w:before="0" w:after="283"/>
              <w:jc w:val="right"/>
              <w:rPr/>
            </w:pPr>
            <w:r>
              <w:rPr/>
              <w:t>56,298,330</w:t>
            </w:r>
          </w:p>
        </w:tc>
      </w:tr>
      <w:tr>
        <w:trPr/>
        <w:tc>
          <w:tcPr>
            <w:tcW w:w="6271" w:type="dxa"/>
            <w:tcBorders/>
            <w:tcMar>
              <w:top w:w="0" w:type="dxa"/>
              <w:left w:w="0" w:type="dxa"/>
              <w:bottom w:w="0" w:type="dxa"/>
              <w:right w:w="0" w:type="dxa"/>
            </w:tcMar>
            <w:vAlign w:val="center"/>
          </w:tcPr>
          <w:p>
            <w:pPr>
              <w:pStyle w:val="TableContents"/>
              <w:bidi w:val="0"/>
              <w:spacing w:before="0" w:after="283"/>
              <w:jc w:val="left"/>
              <w:rPr/>
            </w:pPr>
            <w:r>
              <w:rPr/>
              <w:t>Accounts receivable</w:t>
            </w:r>
          </w:p>
        </w:tc>
        <w:tc>
          <w:tcPr>
            <w:tcW w:w="2086" w:type="dxa"/>
            <w:tcBorders/>
            <w:vAlign w:val="center"/>
          </w:tcPr>
          <w:p>
            <w:pPr>
              <w:pStyle w:val="TableContents"/>
              <w:bidi w:val="0"/>
              <w:spacing w:before="0" w:after="283"/>
              <w:jc w:val="right"/>
              <w:rPr/>
            </w:pPr>
            <w:r>
              <w:rPr/>
              <w:t>7,971,109</w:t>
            </w:r>
          </w:p>
        </w:tc>
        <w:tc>
          <w:tcPr>
            <w:tcW w:w="1591" w:type="dxa"/>
            <w:tcBorders/>
            <w:vAlign w:val="center"/>
          </w:tcPr>
          <w:p>
            <w:pPr>
              <w:pStyle w:val="TableContents"/>
              <w:bidi w:val="0"/>
              <w:spacing w:before="0" w:after="283"/>
              <w:jc w:val="right"/>
              <w:rPr/>
            </w:pPr>
            <w:r>
              <w:rPr/>
              <w:t>13,230,217</w:t>
            </w:r>
          </w:p>
        </w:tc>
      </w:tr>
      <w:tr>
        <w:trPr/>
        <w:tc>
          <w:tcPr>
            <w:tcW w:w="6271" w:type="dxa"/>
            <w:tcBorders/>
            <w:tcMar>
              <w:top w:w="0" w:type="dxa"/>
              <w:left w:w="0" w:type="dxa"/>
              <w:bottom w:w="0" w:type="dxa"/>
              <w:right w:w="0" w:type="dxa"/>
            </w:tcMar>
            <w:vAlign w:val="center"/>
          </w:tcPr>
          <w:p>
            <w:pPr>
              <w:pStyle w:val="TableContents"/>
              <w:bidi w:val="0"/>
              <w:spacing w:before="0" w:after="283"/>
              <w:jc w:val="left"/>
              <w:rPr/>
            </w:pPr>
            <w:r>
              <w:rPr/>
              <w:t>Amounts due from related parties</w:t>
            </w:r>
          </w:p>
        </w:tc>
        <w:tc>
          <w:tcPr>
            <w:tcW w:w="2086" w:type="dxa"/>
            <w:tcBorders/>
            <w:vAlign w:val="center"/>
          </w:tcPr>
          <w:p>
            <w:pPr>
              <w:pStyle w:val="TableContents"/>
              <w:bidi w:val="0"/>
              <w:spacing w:before="0" w:after="283"/>
              <w:jc w:val="right"/>
              <w:rPr/>
            </w:pPr>
            <w:r>
              <w:rPr/>
              <w:t>6,131,139</w:t>
            </w:r>
          </w:p>
        </w:tc>
        <w:tc>
          <w:tcPr>
            <w:tcW w:w="1591" w:type="dxa"/>
            <w:tcBorders/>
            <w:vAlign w:val="center"/>
          </w:tcPr>
          <w:p>
            <w:pPr>
              <w:pStyle w:val="TableContents"/>
              <w:bidi w:val="0"/>
              <w:spacing w:before="0" w:after="283"/>
              <w:jc w:val="right"/>
              <w:rPr/>
            </w:pPr>
            <w:r>
              <w:rPr/>
              <w:t>3,291,783</w:t>
            </w:r>
          </w:p>
        </w:tc>
      </w:tr>
      <w:tr>
        <w:trPr/>
        <w:tc>
          <w:tcPr>
            <w:tcW w:w="6271" w:type="dxa"/>
            <w:tcBorders/>
            <w:tcMar>
              <w:top w:w="0" w:type="dxa"/>
              <w:left w:w="0" w:type="dxa"/>
              <w:bottom w:w="0" w:type="dxa"/>
              <w:right w:w="0" w:type="dxa"/>
            </w:tcMar>
            <w:vAlign w:val="center"/>
          </w:tcPr>
          <w:p>
            <w:pPr>
              <w:pStyle w:val="TableContents"/>
              <w:bidi w:val="0"/>
              <w:spacing w:before="0" w:after="283"/>
              <w:jc w:val="left"/>
              <w:rPr/>
            </w:pPr>
            <w:r>
              <w:rPr/>
              <w:t>Loan receivables due from related party, current</w:t>
            </w:r>
          </w:p>
        </w:tc>
        <w:tc>
          <w:tcPr>
            <w:tcW w:w="2086" w:type="dxa"/>
            <w:tcBorders/>
            <w:vAlign w:val="center"/>
          </w:tcPr>
          <w:p>
            <w:pPr>
              <w:pStyle w:val="TableContents"/>
              <w:bidi w:val="0"/>
              <w:spacing w:before="0" w:after="283"/>
              <w:jc w:val="right"/>
              <w:rPr/>
            </w:pPr>
            <w:r>
              <w:rPr/>
              <w:t>—</w:t>
            </w:r>
          </w:p>
        </w:tc>
        <w:tc>
          <w:tcPr>
            <w:tcW w:w="1591" w:type="dxa"/>
            <w:tcBorders/>
            <w:vAlign w:val="center"/>
          </w:tcPr>
          <w:p>
            <w:pPr>
              <w:pStyle w:val="TableContents"/>
              <w:bidi w:val="0"/>
              <w:spacing w:before="0" w:after="283"/>
              <w:jc w:val="right"/>
              <w:rPr/>
            </w:pPr>
            <w:r>
              <w:rPr/>
              <w:t>31,174,817</w:t>
            </w:r>
          </w:p>
        </w:tc>
      </w:tr>
      <w:tr>
        <w:trPr/>
        <w:tc>
          <w:tcPr>
            <w:tcW w:w="6271" w:type="dxa"/>
            <w:tcBorders/>
            <w:tcMar>
              <w:top w:w="0" w:type="dxa"/>
              <w:left w:w="0" w:type="dxa"/>
              <w:bottom w:w="0" w:type="dxa"/>
              <w:right w:w="0" w:type="dxa"/>
            </w:tcMar>
            <w:vAlign w:val="center"/>
          </w:tcPr>
          <w:p>
            <w:pPr>
              <w:pStyle w:val="TableContents"/>
              <w:bidi w:val="0"/>
              <w:spacing w:before="0" w:after="283"/>
              <w:jc w:val="left"/>
              <w:rPr/>
            </w:pPr>
            <w:r>
              <w:rPr/>
              <w:t>Loan receivables, current</w:t>
            </w:r>
          </w:p>
        </w:tc>
        <w:tc>
          <w:tcPr>
            <w:tcW w:w="2086" w:type="dxa"/>
            <w:tcBorders/>
            <w:vAlign w:val="center"/>
          </w:tcPr>
          <w:p>
            <w:pPr>
              <w:pStyle w:val="TableContents"/>
              <w:bidi w:val="0"/>
              <w:spacing w:before="0" w:after="283"/>
              <w:jc w:val="right"/>
              <w:rPr/>
            </w:pPr>
            <w:r>
              <w:rPr/>
              <w:t>330,641,034</w:t>
            </w:r>
          </w:p>
        </w:tc>
        <w:tc>
          <w:tcPr>
            <w:tcW w:w="1591" w:type="dxa"/>
            <w:tcBorders/>
            <w:vAlign w:val="center"/>
          </w:tcPr>
          <w:p>
            <w:pPr>
              <w:pStyle w:val="TableContents"/>
              <w:bidi w:val="0"/>
              <w:spacing w:before="0" w:after="283"/>
              <w:jc w:val="right"/>
              <w:rPr/>
            </w:pPr>
            <w:r>
              <w:rPr/>
              <w:t>302,428,540</w:t>
            </w:r>
          </w:p>
        </w:tc>
      </w:tr>
      <w:tr>
        <w:trPr/>
        <w:tc>
          <w:tcPr>
            <w:tcW w:w="6271" w:type="dxa"/>
            <w:tcBorders/>
            <w:tcMar>
              <w:top w:w="0" w:type="dxa"/>
              <w:left w:w="0" w:type="dxa"/>
              <w:bottom w:w="0" w:type="dxa"/>
              <w:right w:w="0" w:type="dxa"/>
            </w:tcMar>
            <w:vAlign w:val="center"/>
          </w:tcPr>
          <w:p>
            <w:pPr>
              <w:pStyle w:val="TableContents"/>
              <w:bidi w:val="0"/>
              <w:spacing w:before="0" w:after="283"/>
              <w:jc w:val="left"/>
              <w:rPr/>
            </w:pPr>
            <w:r>
              <w:rPr/>
              <w:t>Prepaid expenses and other current assets</w:t>
            </w:r>
          </w:p>
        </w:tc>
        <w:tc>
          <w:tcPr>
            <w:tcW w:w="2086" w:type="dxa"/>
            <w:tcBorders/>
            <w:vAlign w:val="center"/>
          </w:tcPr>
          <w:p>
            <w:pPr>
              <w:pStyle w:val="TableContents"/>
              <w:bidi w:val="0"/>
              <w:spacing w:before="0" w:after="283"/>
              <w:jc w:val="right"/>
              <w:rPr/>
            </w:pPr>
            <w:r>
              <w:rPr/>
              <w:t>6,626,198</w:t>
            </w:r>
          </w:p>
        </w:tc>
        <w:tc>
          <w:tcPr>
            <w:tcW w:w="1591" w:type="dxa"/>
            <w:tcBorders/>
            <w:vAlign w:val="center"/>
          </w:tcPr>
          <w:p>
            <w:pPr>
              <w:pStyle w:val="TableContents"/>
              <w:bidi w:val="0"/>
              <w:spacing w:before="0" w:after="283"/>
              <w:jc w:val="right"/>
              <w:rPr/>
            </w:pPr>
            <w:r>
              <w:rPr/>
              <w:t>8,377,495</w:t>
            </w:r>
          </w:p>
        </w:tc>
      </w:tr>
      <w:tr>
        <w:trPr/>
        <w:tc>
          <w:tcPr>
            <w:tcW w:w="6271" w:type="dxa"/>
            <w:tcBorders/>
            <w:tcMar>
              <w:top w:w="0" w:type="dxa"/>
              <w:left w:w="0" w:type="dxa"/>
              <w:bottom w:w="0" w:type="dxa"/>
              <w:right w:w="0" w:type="dxa"/>
            </w:tcMar>
            <w:vAlign w:val="center"/>
          </w:tcPr>
          <w:p>
            <w:pPr>
              <w:pStyle w:val="TableContents"/>
              <w:bidi w:val="0"/>
              <w:spacing w:before="0" w:after="283"/>
              <w:jc w:val="left"/>
              <w:rPr/>
            </w:pPr>
            <w:r>
              <w:rPr/>
              <w:t>Crypto assets collateral receivable from related party, current</w:t>
            </w:r>
          </w:p>
        </w:tc>
        <w:tc>
          <w:tcPr>
            <w:tcW w:w="2086" w:type="dxa"/>
            <w:tcBorders/>
            <w:vAlign w:val="center"/>
          </w:tcPr>
          <w:p>
            <w:pPr>
              <w:pStyle w:val="TableContents"/>
              <w:bidi w:val="0"/>
              <w:spacing w:before="0" w:after="283"/>
              <w:jc w:val="right"/>
              <w:rPr/>
            </w:pPr>
            <w:r>
              <w:rPr/>
              <w:t>429,876,959</w:t>
            </w:r>
          </w:p>
        </w:tc>
        <w:tc>
          <w:tcPr>
            <w:tcW w:w="1591" w:type="dxa"/>
            <w:tcBorders/>
            <w:vAlign w:val="center"/>
          </w:tcPr>
          <w:p>
            <w:pPr>
              <w:pStyle w:val="TableContents"/>
              <w:bidi w:val="0"/>
              <w:spacing w:before="0" w:after="283"/>
              <w:jc w:val="right"/>
              <w:rPr/>
            </w:pPr>
            <w:r>
              <w:rPr/>
              <w:t>391,176,900</w:t>
            </w:r>
          </w:p>
        </w:tc>
      </w:tr>
      <w:tr>
        <w:trPr/>
        <w:tc>
          <w:tcPr>
            <w:tcW w:w="6271" w:type="dxa"/>
            <w:tcBorders/>
            <w:tcMar>
              <w:top w:w="0" w:type="dxa"/>
              <w:left w:w="0" w:type="dxa"/>
              <w:bottom w:w="0" w:type="dxa"/>
              <w:right w:w="0" w:type="dxa"/>
            </w:tcMar>
            <w:vAlign w:val="center"/>
          </w:tcPr>
          <w:p>
            <w:pPr>
              <w:pStyle w:val="TableContents"/>
              <w:bidi w:val="0"/>
              <w:spacing w:before="0" w:after="283"/>
              <w:jc w:val="left"/>
              <w:rPr/>
            </w:pPr>
            <w:r>
              <w:rPr>
                <w:rStyle w:val="StrongEmphasis"/>
              </w:rPr>
              <w:t>Total current assets</w:t>
            </w:r>
          </w:p>
        </w:tc>
        <w:tc>
          <w:tcPr>
            <w:tcW w:w="2086" w:type="dxa"/>
            <w:tcBorders/>
            <w:vAlign w:val="center"/>
          </w:tcPr>
          <w:p>
            <w:pPr>
              <w:pStyle w:val="TableContents"/>
              <w:bidi w:val="0"/>
              <w:spacing w:before="0" w:after="283"/>
              <w:jc w:val="right"/>
              <w:rPr/>
            </w:pPr>
            <w:r>
              <w:rPr>
                <w:rStyle w:val="StrongEmphasis"/>
              </w:rPr>
              <w:t>874,193,106</w:t>
            </w:r>
          </w:p>
        </w:tc>
        <w:tc>
          <w:tcPr>
            <w:tcW w:w="1591" w:type="dxa"/>
            <w:tcBorders/>
            <w:vAlign w:val="center"/>
          </w:tcPr>
          <w:p>
            <w:pPr>
              <w:pStyle w:val="TableContents"/>
              <w:bidi w:val="0"/>
              <w:spacing w:before="0" w:after="283"/>
              <w:jc w:val="right"/>
              <w:rPr/>
            </w:pPr>
            <w:r>
              <w:rPr>
                <w:rStyle w:val="StrongEmphasis"/>
              </w:rPr>
              <w:t>863,849,809</w:t>
            </w:r>
          </w:p>
        </w:tc>
      </w:tr>
      <w:tr>
        <w:trPr/>
        <w:tc>
          <w:tcPr>
            <w:tcW w:w="6271" w:type="dxa"/>
            <w:tcBorders/>
            <w:vAlign w:val="center"/>
          </w:tcPr>
          <w:p>
            <w:pPr>
              <w:pStyle w:val="TableContents"/>
              <w:bidi w:val="0"/>
              <w:spacing w:before="0" w:after="283"/>
              <w:jc w:val="left"/>
              <w:rPr/>
            </w:pPr>
            <w:r>
              <w:rPr>
                <w:rStyle w:val="StrongEmphasis"/>
              </w:rPr>
              <w:t>Non-current</w:t>
            </w:r>
            <w:r>
              <w:rPr/>
              <w:t xml:space="preserve"> </w:t>
            </w:r>
            <w:r>
              <w:rPr>
                <w:rStyle w:val="StrongEmphasis"/>
              </w:rPr>
              <w:t>assets:</w:t>
            </w:r>
          </w:p>
        </w:tc>
        <w:tc>
          <w:tcPr>
            <w:tcW w:w="2086" w:type="dxa"/>
            <w:tcBorders/>
            <w:vAlign w:val="center"/>
          </w:tcPr>
          <w:p>
            <w:pPr>
              <w:pStyle w:val="TableContents"/>
              <w:bidi w:val="0"/>
              <w:spacing w:before="0" w:after="283"/>
              <w:jc w:val="right"/>
              <w:rPr/>
            </w:pPr>
            <w:r>
              <w:rPr/>
              <w:t> </w:t>
            </w:r>
          </w:p>
        </w:tc>
        <w:tc>
          <w:tcPr>
            <w:tcW w:w="1591" w:type="dxa"/>
            <w:tcBorders/>
            <w:vAlign w:val="center"/>
          </w:tcPr>
          <w:p>
            <w:pPr>
              <w:pStyle w:val="TableContents"/>
              <w:bidi w:val="0"/>
              <w:spacing w:before="0" w:after="283"/>
              <w:jc w:val="right"/>
              <w:rPr/>
            </w:pPr>
            <w:r>
              <w:rPr/>
              <w:t> </w:t>
            </w:r>
          </w:p>
        </w:tc>
      </w:tr>
      <w:tr>
        <w:trPr/>
        <w:tc>
          <w:tcPr>
            <w:tcW w:w="6271" w:type="dxa"/>
            <w:tcBorders/>
            <w:tcMar>
              <w:top w:w="0" w:type="dxa"/>
              <w:left w:w="0" w:type="dxa"/>
              <w:bottom w:w="0" w:type="dxa"/>
              <w:right w:w="0" w:type="dxa"/>
            </w:tcMar>
            <w:vAlign w:val="center"/>
          </w:tcPr>
          <w:p>
            <w:pPr>
              <w:pStyle w:val="TableContents"/>
              <w:bidi w:val="0"/>
              <w:spacing w:before="0" w:after="283"/>
              <w:jc w:val="left"/>
              <w:rPr/>
            </w:pPr>
            <w:r>
              <w:rPr/>
              <w:t>Deferred tax assets</w:t>
            </w:r>
          </w:p>
        </w:tc>
        <w:tc>
          <w:tcPr>
            <w:tcW w:w="2086" w:type="dxa"/>
            <w:tcBorders/>
            <w:vAlign w:val="center"/>
          </w:tcPr>
          <w:p>
            <w:pPr>
              <w:pStyle w:val="TableContents"/>
              <w:bidi w:val="0"/>
              <w:spacing w:before="0" w:after="283"/>
              <w:jc w:val="right"/>
              <w:rPr/>
            </w:pPr>
            <w:r>
              <w:rPr/>
              <w:t>422,922</w:t>
            </w:r>
          </w:p>
        </w:tc>
        <w:tc>
          <w:tcPr>
            <w:tcW w:w="1591" w:type="dxa"/>
            <w:tcBorders/>
            <w:vAlign w:val="center"/>
          </w:tcPr>
          <w:p>
            <w:pPr>
              <w:pStyle w:val="TableContents"/>
              <w:bidi w:val="0"/>
              <w:spacing w:before="0" w:after="283"/>
              <w:jc w:val="right"/>
              <w:rPr/>
            </w:pPr>
            <w:r>
              <w:rPr/>
              <w:t>625,507</w:t>
            </w:r>
          </w:p>
        </w:tc>
      </w:tr>
      <w:tr>
        <w:trPr/>
        <w:tc>
          <w:tcPr>
            <w:tcW w:w="6271" w:type="dxa"/>
            <w:tcBorders/>
            <w:tcMar>
              <w:top w:w="0" w:type="dxa"/>
              <w:left w:w="0" w:type="dxa"/>
              <w:bottom w:w="0" w:type="dxa"/>
              <w:right w:w="0" w:type="dxa"/>
            </w:tcMar>
            <w:vAlign w:val="center"/>
          </w:tcPr>
          <w:p>
            <w:pPr>
              <w:pStyle w:val="TableContents"/>
              <w:bidi w:val="0"/>
              <w:spacing w:before="0" w:after="283"/>
              <w:jc w:val="left"/>
              <w:rPr/>
            </w:pPr>
            <w:r>
              <w:rPr/>
              <w:t>Loan receivables due from related party, non-current</w:t>
            </w:r>
          </w:p>
        </w:tc>
        <w:tc>
          <w:tcPr>
            <w:tcW w:w="2086" w:type="dxa"/>
            <w:tcBorders/>
            <w:vAlign w:val="center"/>
          </w:tcPr>
          <w:p>
            <w:pPr>
              <w:pStyle w:val="TableContents"/>
              <w:bidi w:val="0"/>
              <w:spacing w:before="0" w:after="283"/>
              <w:jc w:val="right"/>
              <w:rPr/>
            </w:pPr>
            <w:r>
              <w:rPr/>
              <w:t>556,920,339</w:t>
            </w:r>
          </w:p>
        </w:tc>
        <w:tc>
          <w:tcPr>
            <w:tcW w:w="1591" w:type="dxa"/>
            <w:tcBorders/>
            <w:vAlign w:val="center"/>
          </w:tcPr>
          <w:p>
            <w:pPr>
              <w:pStyle w:val="TableContents"/>
              <w:bidi w:val="0"/>
              <w:spacing w:before="0" w:after="283"/>
              <w:jc w:val="right"/>
              <w:rPr/>
            </w:pPr>
            <w:r>
              <w:rPr/>
              <w:t>—</w:t>
            </w:r>
          </w:p>
        </w:tc>
      </w:tr>
      <w:tr>
        <w:trPr/>
        <w:tc>
          <w:tcPr>
            <w:tcW w:w="6271" w:type="dxa"/>
            <w:tcBorders/>
            <w:tcMar>
              <w:top w:w="0" w:type="dxa"/>
              <w:left w:w="0" w:type="dxa"/>
              <w:bottom w:w="0" w:type="dxa"/>
              <w:right w:w="0" w:type="dxa"/>
            </w:tcMar>
            <w:vAlign w:val="center"/>
          </w:tcPr>
          <w:p>
            <w:pPr>
              <w:pStyle w:val="TableContents"/>
              <w:bidi w:val="0"/>
              <w:spacing w:before="0" w:after="283"/>
              <w:jc w:val="left"/>
              <w:rPr/>
            </w:pPr>
            <w:r>
              <w:rPr/>
              <w:t>Loan receivables, non-current</w:t>
            </w:r>
          </w:p>
        </w:tc>
        <w:tc>
          <w:tcPr>
            <w:tcW w:w="2086" w:type="dxa"/>
            <w:tcBorders/>
            <w:vAlign w:val="center"/>
          </w:tcPr>
          <w:p>
            <w:pPr>
              <w:pStyle w:val="TableContents"/>
              <w:bidi w:val="0"/>
              <w:spacing w:before="0" w:after="283"/>
              <w:jc w:val="right"/>
              <w:rPr/>
            </w:pPr>
            <w:r>
              <w:rPr/>
              <w:t>113,262,652</w:t>
            </w:r>
          </w:p>
        </w:tc>
        <w:tc>
          <w:tcPr>
            <w:tcW w:w="1591" w:type="dxa"/>
            <w:tcBorders/>
            <w:vAlign w:val="center"/>
          </w:tcPr>
          <w:p>
            <w:pPr>
              <w:pStyle w:val="TableContents"/>
              <w:bidi w:val="0"/>
              <w:spacing w:before="0" w:after="283"/>
              <w:jc w:val="right"/>
              <w:rPr/>
            </w:pPr>
            <w:r>
              <w:rPr/>
              <w:t>49,795,434</w:t>
            </w:r>
          </w:p>
        </w:tc>
      </w:tr>
      <w:tr>
        <w:trPr/>
        <w:tc>
          <w:tcPr>
            <w:tcW w:w="6271" w:type="dxa"/>
            <w:tcBorders/>
            <w:tcMar>
              <w:top w:w="0" w:type="dxa"/>
              <w:left w:w="0" w:type="dxa"/>
              <w:bottom w:w="0" w:type="dxa"/>
              <w:right w:w="0" w:type="dxa"/>
            </w:tcMar>
            <w:vAlign w:val="center"/>
          </w:tcPr>
          <w:p>
            <w:pPr>
              <w:pStyle w:val="TableContents"/>
              <w:bidi w:val="0"/>
              <w:spacing w:before="0" w:after="283"/>
              <w:jc w:val="left"/>
              <w:rPr/>
            </w:pPr>
            <w:r>
              <w:rPr/>
              <w:t>Crypto assets collateral receivable from related party, non-current</w:t>
            </w:r>
          </w:p>
        </w:tc>
        <w:tc>
          <w:tcPr>
            <w:tcW w:w="2086" w:type="dxa"/>
            <w:tcBorders/>
            <w:vAlign w:val="center"/>
          </w:tcPr>
          <w:p>
            <w:pPr>
              <w:pStyle w:val="TableContents"/>
              <w:bidi w:val="0"/>
              <w:spacing w:before="0" w:after="283"/>
              <w:jc w:val="right"/>
              <w:rPr/>
            </w:pPr>
            <w:r>
              <w:rPr/>
              <w:t>826,968,973</w:t>
            </w:r>
          </w:p>
        </w:tc>
        <w:tc>
          <w:tcPr>
            <w:tcW w:w="1591" w:type="dxa"/>
            <w:tcBorders/>
            <w:vAlign w:val="center"/>
          </w:tcPr>
          <w:p>
            <w:pPr>
              <w:pStyle w:val="TableContents"/>
              <w:bidi w:val="0"/>
              <w:spacing w:before="0" w:after="283"/>
              <w:jc w:val="right"/>
              <w:rPr/>
            </w:pPr>
            <w:r>
              <w:rPr/>
              <w:t>11,850,555</w:t>
            </w:r>
          </w:p>
        </w:tc>
      </w:tr>
      <w:tr>
        <w:trPr/>
        <w:tc>
          <w:tcPr>
            <w:tcW w:w="6271" w:type="dxa"/>
            <w:tcBorders/>
            <w:tcMar>
              <w:top w:w="0" w:type="dxa"/>
              <w:left w:w="0" w:type="dxa"/>
              <w:bottom w:w="0" w:type="dxa"/>
              <w:right w:w="0" w:type="dxa"/>
            </w:tcMar>
            <w:vAlign w:val="center"/>
          </w:tcPr>
          <w:p>
            <w:pPr>
              <w:pStyle w:val="TableContents"/>
              <w:bidi w:val="0"/>
              <w:spacing w:before="0" w:after="283"/>
              <w:jc w:val="left"/>
              <w:rPr/>
            </w:pPr>
            <w:r>
              <w:rPr/>
              <w:t>Investment</w:t>
            </w:r>
          </w:p>
        </w:tc>
        <w:tc>
          <w:tcPr>
            <w:tcW w:w="2086" w:type="dxa"/>
            <w:tcBorders/>
            <w:vAlign w:val="center"/>
          </w:tcPr>
          <w:p>
            <w:pPr>
              <w:pStyle w:val="TableContents"/>
              <w:bidi w:val="0"/>
              <w:spacing w:before="0" w:after="283"/>
              <w:jc w:val="right"/>
              <w:rPr/>
            </w:pPr>
            <w:r>
              <w:rPr/>
              <w:t>10,314,161</w:t>
            </w:r>
          </w:p>
        </w:tc>
        <w:tc>
          <w:tcPr>
            <w:tcW w:w="1591" w:type="dxa"/>
            <w:tcBorders/>
            <w:vAlign w:val="center"/>
          </w:tcPr>
          <w:p>
            <w:pPr>
              <w:pStyle w:val="TableContents"/>
              <w:bidi w:val="0"/>
              <w:spacing w:before="0" w:after="283"/>
              <w:jc w:val="right"/>
              <w:rPr/>
            </w:pPr>
            <w:r>
              <w:rPr/>
              <w:t>10,314,161</w:t>
            </w:r>
          </w:p>
        </w:tc>
      </w:tr>
      <w:tr>
        <w:trPr/>
        <w:tc>
          <w:tcPr>
            <w:tcW w:w="6271" w:type="dxa"/>
            <w:tcBorders/>
            <w:tcMar>
              <w:top w:w="0" w:type="dxa"/>
              <w:left w:w="0" w:type="dxa"/>
              <w:bottom w:w="0" w:type="dxa"/>
              <w:right w:w="0" w:type="dxa"/>
            </w:tcMar>
            <w:vAlign w:val="center"/>
          </w:tcPr>
          <w:p>
            <w:pPr>
              <w:pStyle w:val="TableContents"/>
              <w:bidi w:val="0"/>
              <w:spacing w:before="0" w:after="283"/>
              <w:jc w:val="left"/>
              <w:rPr/>
            </w:pPr>
            <w:r>
              <w:rPr/>
              <w:t>Goodwill</w:t>
            </w:r>
            <w:r>
              <w:rPr>
                <w:position w:val="8"/>
                <w:sz w:val="19"/>
              </w:rPr>
              <w:t>(i)</w:t>
            </w:r>
          </w:p>
        </w:tc>
        <w:tc>
          <w:tcPr>
            <w:tcW w:w="2086" w:type="dxa"/>
            <w:tcBorders/>
            <w:vAlign w:val="center"/>
          </w:tcPr>
          <w:p>
            <w:pPr>
              <w:pStyle w:val="TableContents"/>
              <w:bidi w:val="0"/>
              <w:spacing w:before="0" w:after="283"/>
              <w:jc w:val="right"/>
              <w:rPr/>
            </w:pPr>
            <w:r>
              <w:rPr/>
              <w:t>21,652,968</w:t>
            </w:r>
          </w:p>
        </w:tc>
        <w:tc>
          <w:tcPr>
            <w:tcW w:w="1591" w:type="dxa"/>
            <w:tcBorders/>
            <w:vAlign w:val="center"/>
          </w:tcPr>
          <w:p>
            <w:pPr>
              <w:pStyle w:val="TableContents"/>
              <w:bidi w:val="0"/>
              <w:spacing w:before="0" w:after="283"/>
              <w:jc w:val="right"/>
              <w:rPr/>
            </w:pPr>
            <w:r>
              <w:rPr/>
              <w:t>21,652,968</w:t>
            </w:r>
          </w:p>
        </w:tc>
      </w:tr>
      <w:tr>
        <w:trPr/>
        <w:tc>
          <w:tcPr>
            <w:tcW w:w="6271" w:type="dxa"/>
            <w:tcBorders/>
            <w:tcMar>
              <w:top w:w="0" w:type="dxa"/>
              <w:left w:w="0" w:type="dxa"/>
              <w:bottom w:w="0" w:type="dxa"/>
              <w:right w:w="0" w:type="dxa"/>
            </w:tcMar>
            <w:vAlign w:val="center"/>
          </w:tcPr>
          <w:p>
            <w:pPr>
              <w:pStyle w:val="TableContents"/>
              <w:bidi w:val="0"/>
              <w:spacing w:before="0" w:after="283"/>
              <w:jc w:val="left"/>
              <w:rPr/>
            </w:pPr>
            <w:r>
              <w:rPr/>
              <w:t>Other non-current assets</w:t>
            </w:r>
            <w:r>
              <w:rPr>
                <w:position w:val="8"/>
                <w:sz w:val="19"/>
              </w:rPr>
              <w:t>(ii)</w:t>
            </w:r>
          </w:p>
        </w:tc>
        <w:tc>
          <w:tcPr>
            <w:tcW w:w="2086" w:type="dxa"/>
            <w:tcBorders/>
            <w:vAlign w:val="center"/>
          </w:tcPr>
          <w:p>
            <w:pPr>
              <w:pStyle w:val="TableContents"/>
              <w:bidi w:val="0"/>
              <w:spacing w:before="0" w:after="283"/>
              <w:jc w:val="right"/>
              <w:rPr/>
            </w:pPr>
            <w:r>
              <w:rPr/>
              <w:t>3,217,379</w:t>
            </w:r>
          </w:p>
        </w:tc>
        <w:tc>
          <w:tcPr>
            <w:tcW w:w="1591" w:type="dxa"/>
            <w:tcBorders/>
            <w:vAlign w:val="center"/>
          </w:tcPr>
          <w:p>
            <w:pPr>
              <w:pStyle w:val="TableContents"/>
              <w:bidi w:val="0"/>
              <w:spacing w:before="0" w:after="283"/>
              <w:jc w:val="right"/>
              <w:rPr/>
            </w:pPr>
            <w:r>
              <w:rPr/>
              <w:t>3,335,228</w:t>
            </w:r>
          </w:p>
        </w:tc>
      </w:tr>
      <w:tr>
        <w:trPr/>
        <w:tc>
          <w:tcPr>
            <w:tcW w:w="6271" w:type="dxa"/>
            <w:tcBorders/>
            <w:tcMar>
              <w:top w:w="0" w:type="dxa"/>
              <w:left w:w="0" w:type="dxa"/>
              <w:bottom w:w="0" w:type="dxa"/>
              <w:right w:w="0" w:type="dxa"/>
            </w:tcMar>
            <w:vAlign w:val="center"/>
          </w:tcPr>
          <w:p>
            <w:pPr>
              <w:pStyle w:val="TableContents"/>
              <w:bidi w:val="0"/>
              <w:spacing w:before="0" w:after="283"/>
              <w:jc w:val="left"/>
              <w:rPr/>
            </w:pPr>
            <w:r>
              <w:rPr>
                <w:rStyle w:val="StrongEmphasis"/>
              </w:rPr>
              <w:t>Total non-current assets</w:t>
            </w:r>
          </w:p>
        </w:tc>
        <w:tc>
          <w:tcPr>
            <w:tcW w:w="2086" w:type="dxa"/>
            <w:tcBorders/>
            <w:vAlign w:val="center"/>
          </w:tcPr>
          <w:p>
            <w:pPr>
              <w:pStyle w:val="TableContents"/>
              <w:bidi w:val="0"/>
              <w:spacing w:before="0" w:after="283"/>
              <w:jc w:val="right"/>
              <w:rPr/>
            </w:pPr>
            <w:r>
              <w:rPr>
                <w:rStyle w:val="StrongEmphasis"/>
              </w:rPr>
              <w:t>1,532,759,394</w:t>
            </w:r>
          </w:p>
        </w:tc>
        <w:tc>
          <w:tcPr>
            <w:tcW w:w="1591" w:type="dxa"/>
            <w:tcBorders/>
            <w:vAlign w:val="center"/>
          </w:tcPr>
          <w:p>
            <w:pPr>
              <w:pStyle w:val="TableContents"/>
              <w:bidi w:val="0"/>
              <w:spacing w:before="0" w:after="283"/>
              <w:jc w:val="right"/>
              <w:rPr/>
            </w:pPr>
            <w:r>
              <w:rPr>
                <w:rStyle w:val="StrongEmphasis"/>
              </w:rPr>
              <w:t>97,573,853</w:t>
            </w:r>
          </w:p>
        </w:tc>
      </w:tr>
      <w:tr>
        <w:trPr/>
        <w:tc>
          <w:tcPr>
            <w:tcW w:w="6271" w:type="dxa"/>
            <w:tcBorders/>
            <w:vAlign w:val="center"/>
          </w:tcPr>
          <w:p>
            <w:pPr>
              <w:pStyle w:val="TableContents"/>
              <w:bidi w:val="0"/>
              <w:spacing w:before="0" w:after="283"/>
              <w:jc w:val="left"/>
              <w:rPr/>
            </w:pPr>
            <w:r>
              <w:rPr>
                <w:rStyle w:val="StrongEmphasis"/>
              </w:rPr>
              <w:t>Total assets</w:t>
            </w:r>
          </w:p>
        </w:tc>
        <w:tc>
          <w:tcPr>
            <w:tcW w:w="2086" w:type="dxa"/>
            <w:tcBorders/>
            <w:vAlign w:val="center"/>
          </w:tcPr>
          <w:p>
            <w:pPr>
              <w:pStyle w:val="TableContents"/>
              <w:bidi w:val="0"/>
              <w:spacing w:before="0" w:after="283"/>
              <w:jc w:val="right"/>
              <w:rPr/>
            </w:pPr>
            <w:r>
              <w:rPr>
                <w:rStyle w:val="StrongEmphasis"/>
              </w:rPr>
              <w:t>2,406,952,500</w:t>
            </w:r>
          </w:p>
        </w:tc>
        <w:tc>
          <w:tcPr>
            <w:tcW w:w="1591" w:type="dxa"/>
            <w:tcBorders/>
            <w:vAlign w:val="center"/>
          </w:tcPr>
          <w:p>
            <w:pPr>
              <w:pStyle w:val="TableContents"/>
              <w:bidi w:val="0"/>
              <w:spacing w:before="0" w:after="283"/>
              <w:jc w:val="right"/>
              <w:rPr/>
            </w:pPr>
            <w:r>
              <w:rPr>
                <w:rStyle w:val="StrongEmphasis"/>
              </w:rPr>
              <w:t>961,423,662</w:t>
            </w:r>
          </w:p>
        </w:tc>
      </w:tr>
      <w:tr>
        <w:trPr/>
        <w:tc>
          <w:tcPr>
            <w:tcW w:w="6271" w:type="dxa"/>
            <w:tcBorders/>
            <w:vAlign w:val="center"/>
          </w:tcPr>
          <w:p>
            <w:pPr>
              <w:pStyle w:val="TableContents"/>
              <w:bidi w:val="0"/>
              <w:spacing w:before="0" w:after="283"/>
              <w:jc w:val="left"/>
              <w:rPr/>
            </w:pPr>
            <w:r>
              <w:rPr>
                <w:rStyle w:val="StrongEmphasis"/>
              </w:rPr>
              <w:t>Liabilities and shareholders’ equity</w:t>
            </w:r>
          </w:p>
        </w:tc>
        <w:tc>
          <w:tcPr>
            <w:tcW w:w="2086" w:type="dxa"/>
            <w:tcBorders/>
            <w:vAlign w:val="center"/>
          </w:tcPr>
          <w:p>
            <w:pPr>
              <w:pStyle w:val="TableContents"/>
              <w:bidi w:val="0"/>
              <w:spacing w:before="0" w:after="283"/>
              <w:jc w:val="left"/>
              <w:rPr/>
            </w:pPr>
            <w:r>
              <w:rPr/>
              <w:t> </w:t>
            </w:r>
          </w:p>
        </w:tc>
        <w:tc>
          <w:tcPr>
            <w:tcW w:w="1591" w:type="dxa"/>
            <w:tcBorders/>
            <w:vAlign w:val="center"/>
          </w:tcPr>
          <w:p>
            <w:pPr>
              <w:pStyle w:val="TableContents"/>
              <w:bidi w:val="0"/>
              <w:spacing w:before="0" w:after="283"/>
              <w:jc w:val="left"/>
              <w:rPr/>
            </w:pPr>
            <w:r>
              <w:rPr/>
              <w:t> </w:t>
            </w:r>
          </w:p>
        </w:tc>
      </w:tr>
      <w:tr>
        <w:trPr/>
        <w:tc>
          <w:tcPr>
            <w:tcW w:w="6271" w:type="dxa"/>
            <w:tcBorders/>
            <w:vAlign w:val="center"/>
          </w:tcPr>
          <w:p>
            <w:pPr>
              <w:pStyle w:val="TableContents"/>
              <w:bidi w:val="0"/>
              <w:spacing w:before="0" w:after="283"/>
              <w:jc w:val="left"/>
              <w:rPr/>
            </w:pPr>
            <w:r>
              <w:rPr>
                <w:rStyle w:val="StrongEmphasis"/>
              </w:rPr>
              <w:t>Current liabilities:</w:t>
            </w:r>
          </w:p>
        </w:tc>
        <w:tc>
          <w:tcPr>
            <w:tcW w:w="2086" w:type="dxa"/>
            <w:tcBorders/>
            <w:vAlign w:val="center"/>
          </w:tcPr>
          <w:p>
            <w:pPr>
              <w:pStyle w:val="TableContents"/>
              <w:bidi w:val="0"/>
              <w:spacing w:before="0" w:after="283"/>
              <w:jc w:val="left"/>
              <w:rPr/>
            </w:pPr>
            <w:r>
              <w:rPr/>
              <w:t> </w:t>
            </w:r>
          </w:p>
        </w:tc>
        <w:tc>
          <w:tcPr>
            <w:tcW w:w="1591" w:type="dxa"/>
            <w:tcBorders/>
            <w:vAlign w:val="center"/>
          </w:tcPr>
          <w:p>
            <w:pPr>
              <w:pStyle w:val="TableContents"/>
              <w:bidi w:val="0"/>
              <w:spacing w:before="0" w:after="283"/>
              <w:jc w:val="left"/>
              <w:rPr/>
            </w:pPr>
            <w:r>
              <w:rPr/>
              <w:t> </w:t>
            </w:r>
          </w:p>
        </w:tc>
      </w:tr>
      <w:tr>
        <w:trPr/>
        <w:tc>
          <w:tcPr>
            <w:tcW w:w="6271" w:type="dxa"/>
            <w:tcBorders/>
            <w:tcMar>
              <w:top w:w="0" w:type="dxa"/>
              <w:left w:w="0" w:type="dxa"/>
              <w:bottom w:w="0" w:type="dxa"/>
              <w:right w:w="0" w:type="dxa"/>
            </w:tcMar>
            <w:vAlign w:val="center"/>
          </w:tcPr>
          <w:p>
            <w:pPr>
              <w:pStyle w:val="TableContents"/>
              <w:bidi w:val="0"/>
              <w:spacing w:before="0" w:after="283"/>
              <w:jc w:val="left"/>
              <w:rPr/>
            </w:pPr>
            <w:r>
              <w:rPr/>
              <w:t>Amounts due to related parties</w:t>
            </w:r>
          </w:p>
        </w:tc>
        <w:tc>
          <w:tcPr>
            <w:tcW w:w="2086" w:type="dxa"/>
            <w:tcBorders/>
            <w:vAlign w:val="center"/>
          </w:tcPr>
          <w:p>
            <w:pPr>
              <w:pStyle w:val="TableContents"/>
              <w:bidi w:val="0"/>
              <w:spacing w:before="0" w:after="283"/>
              <w:jc w:val="right"/>
              <w:rPr/>
            </w:pPr>
            <w:r>
              <w:rPr/>
              <w:t>5,376,563</w:t>
            </w:r>
          </w:p>
        </w:tc>
        <w:tc>
          <w:tcPr>
            <w:tcW w:w="1591" w:type="dxa"/>
            <w:tcBorders/>
            <w:vAlign w:val="center"/>
          </w:tcPr>
          <w:p>
            <w:pPr>
              <w:pStyle w:val="TableContents"/>
              <w:bidi w:val="0"/>
              <w:spacing w:before="0" w:after="283"/>
              <w:jc w:val="right"/>
              <w:rPr/>
            </w:pPr>
            <w:r>
              <w:rPr/>
              <w:t>7,749,212</w:t>
            </w:r>
          </w:p>
        </w:tc>
      </w:tr>
      <w:tr>
        <w:trPr/>
        <w:tc>
          <w:tcPr>
            <w:tcW w:w="6271" w:type="dxa"/>
            <w:tcBorders/>
            <w:tcMar>
              <w:top w:w="0" w:type="dxa"/>
              <w:left w:w="0" w:type="dxa"/>
              <w:bottom w:w="0" w:type="dxa"/>
              <w:right w:w="0" w:type="dxa"/>
            </w:tcMar>
            <w:vAlign w:val="center"/>
          </w:tcPr>
          <w:p>
            <w:pPr>
              <w:pStyle w:val="TableContents"/>
              <w:bidi w:val="0"/>
              <w:spacing w:before="0" w:after="283"/>
              <w:jc w:val="left"/>
              <w:rPr/>
            </w:pPr>
            <w:r>
              <w:rPr/>
              <w:t>Accrued expenses and other current liabilities</w:t>
            </w:r>
            <w:r>
              <w:rPr>
                <w:position w:val="8"/>
                <w:sz w:val="19"/>
              </w:rPr>
              <w:t>(iii)</w:t>
            </w:r>
          </w:p>
        </w:tc>
        <w:tc>
          <w:tcPr>
            <w:tcW w:w="2086" w:type="dxa"/>
            <w:tcBorders/>
            <w:vAlign w:val="center"/>
          </w:tcPr>
          <w:p>
            <w:pPr>
              <w:pStyle w:val="TableContents"/>
              <w:bidi w:val="0"/>
              <w:spacing w:before="0" w:after="283"/>
              <w:jc w:val="right"/>
              <w:rPr/>
            </w:pPr>
            <w:r>
              <w:rPr/>
              <w:t>11,663,630</w:t>
            </w:r>
          </w:p>
        </w:tc>
        <w:tc>
          <w:tcPr>
            <w:tcW w:w="1591" w:type="dxa"/>
            <w:tcBorders/>
            <w:vAlign w:val="center"/>
          </w:tcPr>
          <w:p>
            <w:pPr>
              <w:pStyle w:val="TableContents"/>
              <w:bidi w:val="0"/>
              <w:spacing w:before="0" w:after="283"/>
              <w:jc w:val="right"/>
              <w:rPr/>
            </w:pPr>
            <w:r>
              <w:rPr/>
              <w:t>12,165,696</w:t>
            </w:r>
          </w:p>
        </w:tc>
      </w:tr>
      <w:tr>
        <w:trPr/>
        <w:tc>
          <w:tcPr>
            <w:tcW w:w="6271" w:type="dxa"/>
            <w:tcBorders/>
            <w:tcMar>
              <w:top w:w="0" w:type="dxa"/>
              <w:left w:w="0" w:type="dxa"/>
              <w:bottom w:w="0" w:type="dxa"/>
              <w:right w:w="0" w:type="dxa"/>
            </w:tcMar>
            <w:vAlign w:val="center"/>
          </w:tcPr>
          <w:p>
            <w:pPr>
              <w:pStyle w:val="TableContents"/>
              <w:bidi w:val="0"/>
              <w:spacing w:before="0" w:after="283"/>
              <w:jc w:val="left"/>
              <w:rPr/>
            </w:pPr>
            <w:r>
              <w:rPr/>
              <w:t>Loan payables due to related party, current</w:t>
            </w:r>
          </w:p>
        </w:tc>
        <w:tc>
          <w:tcPr>
            <w:tcW w:w="2086" w:type="dxa"/>
            <w:tcBorders/>
            <w:vAlign w:val="center"/>
          </w:tcPr>
          <w:p>
            <w:pPr>
              <w:pStyle w:val="TableContents"/>
              <w:bidi w:val="0"/>
              <w:spacing w:before="0" w:after="283"/>
              <w:jc w:val="right"/>
              <w:rPr/>
            </w:pPr>
            <w:r>
              <w:rPr/>
              <w:t>307,535,051</w:t>
            </w:r>
          </w:p>
        </w:tc>
        <w:tc>
          <w:tcPr>
            <w:tcW w:w="1591" w:type="dxa"/>
            <w:tcBorders/>
            <w:vAlign w:val="center"/>
          </w:tcPr>
          <w:p>
            <w:pPr>
              <w:pStyle w:val="TableContents"/>
              <w:bidi w:val="0"/>
              <w:spacing w:before="0" w:after="283"/>
              <w:jc w:val="right"/>
              <w:rPr/>
            </w:pPr>
            <w:r>
              <w:rPr/>
              <w:t>322,746,144</w:t>
            </w:r>
          </w:p>
        </w:tc>
      </w:tr>
      <w:tr>
        <w:trPr/>
        <w:tc>
          <w:tcPr>
            <w:tcW w:w="6271" w:type="dxa"/>
            <w:tcBorders/>
            <w:tcMar>
              <w:top w:w="0" w:type="dxa"/>
              <w:left w:w="0" w:type="dxa"/>
              <w:bottom w:w="0" w:type="dxa"/>
              <w:right w:w="0" w:type="dxa"/>
            </w:tcMar>
            <w:vAlign w:val="center"/>
          </w:tcPr>
          <w:p>
            <w:pPr>
              <w:pStyle w:val="TableContents"/>
              <w:bidi w:val="0"/>
              <w:spacing w:before="0" w:after="283"/>
              <w:jc w:val="left"/>
              <w:rPr/>
            </w:pPr>
            <w:r>
              <w:rPr/>
              <w:t>Crypto assets collateral payable to related party, current</w:t>
            </w:r>
          </w:p>
        </w:tc>
        <w:tc>
          <w:tcPr>
            <w:tcW w:w="2086" w:type="dxa"/>
            <w:tcBorders/>
            <w:vAlign w:val="center"/>
          </w:tcPr>
          <w:p>
            <w:pPr>
              <w:pStyle w:val="TableContents"/>
              <w:bidi w:val="0"/>
              <w:spacing w:before="0" w:after="283"/>
              <w:jc w:val="right"/>
              <w:rPr/>
            </w:pPr>
            <w:r>
              <w:rPr/>
              <w:t>—</w:t>
            </w:r>
          </w:p>
        </w:tc>
        <w:tc>
          <w:tcPr>
            <w:tcW w:w="1591" w:type="dxa"/>
            <w:tcBorders/>
            <w:vAlign w:val="center"/>
          </w:tcPr>
          <w:p>
            <w:pPr>
              <w:pStyle w:val="TableContents"/>
              <w:bidi w:val="0"/>
              <w:spacing w:before="0" w:after="283"/>
              <w:jc w:val="right"/>
              <w:rPr/>
            </w:pPr>
            <w:r>
              <w:rPr/>
              <w:t>60,066,640</w:t>
            </w:r>
          </w:p>
        </w:tc>
      </w:tr>
      <w:tr>
        <w:trPr/>
        <w:tc>
          <w:tcPr>
            <w:tcW w:w="6271" w:type="dxa"/>
            <w:tcBorders/>
            <w:tcMar>
              <w:top w:w="0" w:type="dxa"/>
              <w:left w:w="0" w:type="dxa"/>
              <w:bottom w:w="0" w:type="dxa"/>
              <w:right w:w="0" w:type="dxa"/>
            </w:tcMar>
            <w:vAlign w:val="center"/>
          </w:tcPr>
          <w:p>
            <w:pPr>
              <w:pStyle w:val="TableContents"/>
              <w:bidi w:val="0"/>
              <w:spacing w:before="0" w:after="283"/>
              <w:jc w:val="left"/>
              <w:rPr/>
            </w:pPr>
            <w:r>
              <w:rPr/>
              <w:t>Crypto assets collateral payable to customers, current</w:t>
            </w:r>
          </w:p>
        </w:tc>
        <w:tc>
          <w:tcPr>
            <w:tcW w:w="2086" w:type="dxa"/>
            <w:tcBorders/>
            <w:vAlign w:val="center"/>
          </w:tcPr>
          <w:p>
            <w:pPr>
              <w:pStyle w:val="TableContents"/>
              <w:bidi w:val="0"/>
              <w:spacing w:before="0" w:after="283"/>
              <w:jc w:val="right"/>
              <w:rPr/>
            </w:pPr>
            <w:r>
              <w:rPr/>
              <w:t>429,075,540</w:t>
            </w:r>
          </w:p>
        </w:tc>
        <w:tc>
          <w:tcPr>
            <w:tcW w:w="1591" w:type="dxa"/>
            <w:tcBorders/>
            <w:vAlign w:val="center"/>
          </w:tcPr>
          <w:p>
            <w:pPr>
              <w:pStyle w:val="TableContents"/>
              <w:bidi w:val="0"/>
              <w:spacing w:before="0" w:after="283"/>
              <w:jc w:val="right"/>
              <w:rPr/>
            </w:pPr>
            <w:r>
              <w:rPr/>
              <w:t>268,011,156</w:t>
            </w:r>
          </w:p>
        </w:tc>
      </w:tr>
      <w:tr>
        <w:trPr/>
        <w:tc>
          <w:tcPr>
            <w:tcW w:w="6271" w:type="dxa"/>
            <w:tcBorders/>
            <w:tcMar>
              <w:top w:w="0" w:type="dxa"/>
              <w:left w:w="0" w:type="dxa"/>
              <w:bottom w:w="0" w:type="dxa"/>
              <w:right w:w="0" w:type="dxa"/>
            </w:tcMar>
            <w:vAlign w:val="center"/>
          </w:tcPr>
          <w:p>
            <w:pPr>
              <w:pStyle w:val="TableContents"/>
              <w:bidi w:val="0"/>
              <w:spacing w:before="0" w:after="283"/>
              <w:jc w:val="left"/>
              <w:rPr/>
            </w:pPr>
            <w:r>
              <w:rPr>
                <w:rStyle w:val="StrongEmphasis"/>
              </w:rPr>
              <w:t>Total current liabilities</w:t>
            </w:r>
          </w:p>
        </w:tc>
        <w:tc>
          <w:tcPr>
            <w:tcW w:w="2086" w:type="dxa"/>
            <w:tcBorders/>
            <w:vAlign w:val="center"/>
          </w:tcPr>
          <w:p>
            <w:pPr>
              <w:pStyle w:val="TableContents"/>
              <w:bidi w:val="0"/>
              <w:spacing w:before="0" w:after="283"/>
              <w:jc w:val="right"/>
              <w:rPr/>
            </w:pPr>
            <w:r>
              <w:rPr>
                <w:rStyle w:val="StrongEmphasis"/>
              </w:rPr>
              <w:t>753,650,784</w:t>
            </w:r>
          </w:p>
        </w:tc>
        <w:tc>
          <w:tcPr>
            <w:tcW w:w="1591" w:type="dxa"/>
            <w:tcBorders/>
            <w:vAlign w:val="center"/>
          </w:tcPr>
          <w:p>
            <w:pPr>
              <w:pStyle w:val="TableContents"/>
              <w:bidi w:val="0"/>
              <w:spacing w:before="0" w:after="283"/>
              <w:jc w:val="right"/>
              <w:rPr/>
            </w:pPr>
            <w:r>
              <w:rPr>
                <w:rStyle w:val="StrongEmphasis"/>
              </w:rPr>
              <w:t>670,738,848</w:t>
            </w:r>
          </w:p>
        </w:tc>
      </w:tr>
      <w:tr>
        <w:trPr/>
        <w:tc>
          <w:tcPr>
            <w:tcW w:w="6271" w:type="dxa"/>
            <w:tcBorders/>
            <w:vAlign w:val="center"/>
          </w:tcPr>
          <w:p>
            <w:pPr>
              <w:pStyle w:val="TableContents"/>
              <w:bidi w:val="0"/>
              <w:spacing w:before="0" w:after="283"/>
              <w:jc w:val="left"/>
              <w:rPr/>
            </w:pPr>
            <w:r>
              <w:rPr>
                <w:rStyle w:val="StrongEmphasis"/>
              </w:rPr>
              <w:t>Non-current</w:t>
            </w:r>
            <w:r>
              <w:rPr/>
              <w:t xml:space="preserve"> </w:t>
            </w:r>
            <w:r>
              <w:rPr>
                <w:rStyle w:val="StrongEmphasis"/>
              </w:rPr>
              <w:t>liabilities:</w:t>
            </w:r>
          </w:p>
        </w:tc>
        <w:tc>
          <w:tcPr>
            <w:tcW w:w="2086" w:type="dxa"/>
            <w:tcBorders/>
            <w:vAlign w:val="center"/>
          </w:tcPr>
          <w:p>
            <w:pPr>
              <w:pStyle w:val="TableContents"/>
              <w:bidi w:val="0"/>
              <w:spacing w:before="0" w:after="283"/>
              <w:jc w:val="right"/>
              <w:rPr/>
            </w:pPr>
            <w:r>
              <w:rPr/>
              <w:t> </w:t>
            </w:r>
          </w:p>
        </w:tc>
        <w:tc>
          <w:tcPr>
            <w:tcW w:w="1591" w:type="dxa"/>
            <w:tcBorders/>
            <w:vAlign w:val="center"/>
          </w:tcPr>
          <w:p>
            <w:pPr>
              <w:pStyle w:val="TableContents"/>
              <w:bidi w:val="0"/>
              <w:spacing w:before="0" w:after="283"/>
              <w:jc w:val="right"/>
              <w:rPr/>
            </w:pPr>
            <w:r>
              <w:rPr/>
              <w:t> </w:t>
            </w:r>
          </w:p>
        </w:tc>
      </w:tr>
      <w:tr>
        <w:trPr/>
        <w:tc>
          <w:tcPr>
            <w:tcW w:w="6271" w:type="dxa"/>
            <w:tcBorders/>
            <w:tcMar>
              <w:top w:w="0" w:type="dxa"/>
              <w:left w:w="0" w:type="dxa"/>
              <w:bottom w:w="0" w:type="dxa"/>
              <w:right w:w="0" w:type="dxa"/>
            </w:tcMar>
            <w:vAlign w:val="center"/>
          </w:tcPr>
          <w:p>
            <w:pPr>
              <w:pStyle w:val="TableContents"/>
              <w:bidi w:val="0"/>
              <w:spacing w:before="0" w:after="283"/>
              <w:jc w:val="left"/>
              <w:rPr/>
            </w:pPr>
            <w:r>
              <w:rPr/>
              <w:t>Loan payables due to related party, non-current</w:t>
            </w:r>
          </w:p>
        </w:tc>
        <w:tc>
          <w:tcPr>
            <w:tcW w:w="2086" w:type="dxa"/>
            <w:tcBorders/>
            <w:vAlign w:val="center"/>
          </w:tcPr>
          <w:p>
            <w:pPr>
              <w:pStyle w:val="TableContents"/>
              <w:bidi w:val="0"/>
              <w:spacing w:before="0" w:after="283"/>
              <w:jc w:val="right"/>
              <w:rPr/>
            </w:pPr>
            <w:r>
              <w:rPr/>
              <w:t>720,782,080</w:t>
            </w:r>
          </w:p>
        </w:tc>
        <w:tc>
          <w:tcPr>
            <w:tcW w:w="1591" w:type="dxa"/>
            <w:tcBorders/>
            <w:vAlign w:val="center"/>
          </w:tcPr>
          <w:p>
            <w:pPr>
              <w:pStyle w:val="TableContents"/>
              <w:bidi w:val="0"/>
              <w:spacing w:before="0" w:after="283"/>
              <w:jc w:val="right"/>
              <w:rPr/>
            </w:pPr>
            <w:r>
              <w:rPr/>
              <w:t>92,597,292</w:t>
            </w:r>
          </w:p>
        </w:tc>
      </w:tr>
      <w:tr>
        <w:trPr/>
        <w:tc>
          <w:tcPr>
            <w:tcW w:w="6271" w:type="dxa"/>
            <w:tcBorders/>
            <w:tcMar>
              <w:top w:w="0" w:type="dxa"/>
              <w:left w:w="0" w:type="dxa"/>
              <w:bottom w:w="0" w:type="dxa"/>
              <w:right w:w="0" w:type="dxa"/>
            </w:tcMar>
            <w:vAlign w:val="center"/>
          </w:tcPr>
          <w:p>
            <w:pPr>
              <w:pStyle w:val="TableContents"/>
              <w:bidi w:val="0"/>
              <w:spacing w:before="0" w:after="283"/>
              <w:jc w:val="left"/>
              <w:rPr/>
            </w:pPr>
            <w:r>
              <w:rPr/>
              <w:t>Crypto assets collateral payable to related party, non-current</w:t>
            </w:r>
          </w:p>
        </w:tc>
        <w:tc>
          <w:tcPr>
            <w:tcW w:w="2086" w:type="dxa"/>
            <w:tcBorders/>
            <w:vAlign w:val="center"/>
          </w:tcPr>
          <w:p>
            <w:pPr>
              <w:pStyle w:val="TableContents"/>
              <w:bidi w:val="0"/>
              <w:spacing w:before="0" w:after="283"/>
              <w:jc w:val="right"/>
              <w:rPr/>
            </w:pPr>
            <w:r>
              <w:rPr/>
              <w:t>659,615,535</w:t>
            </w:r>
          </w:p>
        </w:tc>
        <w:tc>
          <w:tcPr>
            <w:tcW w:w="1591" w:type="dxa"/>
            <w:tcBorders/>
            <w:vAlign w:val="center"/>
          </w:tcPr>
          <w:p>
            <w:pPr>
              <w:pStyle w:val="TableContents"/>
              <w:bidi w:val="0"/>
              <w:spacing w:before="0" w:after="283"/>
              <w:jc w:val="right"/>
              <w:rPr/>
            </w:pPr>
            <w:r>
              <w:rPr/>
              <w:t>—</w:t>
            </w:r>
          </w:p>
        </w:tc>
      </w:tr>
      <w:tr>
        <w:trPr/>
        <w:tc>
          <w:tcPr>
            <w:tcW w:w="6271" w:type="dxa"/>
            <w:tcBorders/>
            <w:tcMar>
              <w:top w:w="0" w:type="dxa"/>
              <w:left w:w="0" w:type="dxa"/>
              <w:bottom w:w="0" w:type="dxa"/>
              <w:right w:w="0" w:type="dxa"/>
            </w:tcMar>
            <w:vAlign w:val="center"/>
          </w:tcPr>
          <w:p>
            <w:pPr>
              <w:pStyle w:val="TableContents"/>
              <w:bidi w:val="0"/>
              <w:spacing w:before="0" w:after="283"/>
              <w:jc w:val="left"/>
              <w:rPr/>
            </w:pPr>
            <w:r>
              <w:rPr/>
              <w:t>Crypto assets collateral payable to customers, non-current</w:t>
            </w:r>
          </w:p>
        </w:tc>
        <w:tc>
          <w:tcPr>
            <w:tcW w:w="2086" w:type="dxa"/>
            <w:tcBorders/>
            <w:vAlign w:val="center"/>
          </w:tcPr>
          <w:p>
            <w:pPr>
              <w:pStyle w:val="TableContents"/>
              <w:bidi w:val="0"/>
              <w:spacing w:before="0" w:after="283"/>
              <w:jc w:val="right"/>
              <w:rPr/>
            </w:pPr>
            <w:r>
              <w:rPr/>
              <w:t>69,021,582</w:t>
            </w:r>
          </w:p>
        </w:tc>
        <w:tc>
          <w:tcPr>
            <w:tcW w:w="1591" w:type="dxa"/>
            <w:tcBorders/>
            <w:vAlign w:val="center"/>
          </w:tcPr>
          <w:p>
            <w:pPr>
              <w:pStyle w:val="TableContents"/>
              <w:bidi w:val="0"/>
              <w:spacing w:before="0" w:after="283"/>
              <w:jc w:val="right"/>
              <w:rPr/>
            </w:pPr>
            <w:r>
              <w:rPr/>
              <w:t>12,636,932</w:t>
            </w:r>
          </w:p>
        </w:tc>
      </w:tr>
      <w:tr>
        <w:trPr/>
        <w:tc>
          <w:tcPr>
            <w:tcW w:w="6271" w:type="dxa"/>
            <w:tcBorders/>
            <w:tcMar>
              <w:top w:w="0" w:type="dxa"/>
              <w:left w:w="0" w:type="dxa"/>
              <w:bottom w:w="0" w:type="dxa"/>
              <w:right w:w="0" w:type="dxa"/>
            </w:tcMar>
            <w:vAlign w:val="center"/>
          </w:tcPr>
          <w:p>
            <w:pPr>
              <w:pStyle w:val="TableContents"/>
              <w:bidi w:val="0"/>
              <w:spacing w:before="0" w:after="283"/>
              <w:jc w:val="left"/>
              <w:rPr/>
            </w:pPr>
            <w:r>
              <w:rPr/>
              <w:t>Operating lease liabilities, non-current</w:t>
            </w:r>
          </w:p>
        </w:tc>
        <w:tc>
          <w:tcPr>
            <w:tcW w:w="2086" w:type="dxa"/>
            <w:tcBorders/>
            <w:vAlign w:val="center"/>
          </w:tcPr>
          <w:p>
            <w:pPr>
              <w:pStyle w:val="TableContents"/>
              <w:bidi w:val="0"/>
              <w:spacing w:before="0" w:after="283"/>
              <w:jc w:val="right"/>
              <w:rPr/>
            </w:pPr>
            <w:r>
              <w:rPr/>
              <w:t>1,562,871</w:t>
            </w:r>
          </w:p>
        </w:tc>
        <w:tc>
          <w:tcPr>
            <w:tcW w:w="1591" w:type="dxa"/>
            <w:tcBorders/>
            <w:vAlign w:val="center"/>
          </w:tcPr>
          <w:p>
            <w:pPr>
              <w:pStyle w:val="TableContents"/>
              <w:bidi w:val="0"/>
              <w:spacing w:before="0" w:after="283"/>
              <w:jc w:val="right"/>
              <w:rPr/>
            </w:pPr>
            <w:r>
              <w:rPr/>
              <w:t>1,656,440</w:t>
            </w:r>
          </w:p>
        </w:tc>
      </w:tr>
      <w:tr>
        <w:trPr/>
        <w:tc>
          <w:tcPr>
            <w:tcW w:w="6271" w:type="dxa"/>
            <w:tcBorders/>
            <w:tcMar>
              <w:top w:w="0" w:type="dxa"/>
              <w:left w:w="0" w:type="dxa"/>
              <w:bottom w:w="0" w:type="dxa"/>
              <w:right w:w="0" w:type="dxa"/>
            </w:tcMar>
            <w:vAlign w:val="center"/>
          </w:tcPr>
          <w:p>
            <w:pPr>
              <w:pStyle w:val="TableContents"/>
              <w:bidi w:val="0"/>
              <w:spacing w:before="0" w:after="283"/>
              <w:jc w:val="left"/>
              <w:rPr/>
            </w:pPr>
            <w:r>
              <w:rPr>
                <w:rStyle w:val="StrongEmphasis"/>
              </w:rPr>
              <w:t>Total non-current liabilities</w:t>
            </w:r>
          </w:p>
        </w:tc>
        <w:tc>
          <w:tcPr>
            <w:tcW w:w="2086" w:type="dxa"/>
            <w:tcBorders/>
            <w:vAlign w:val="center"/>
          </w:tcPr>
          <w:p>
            <w:pPr>
              <w:pStyle w:val="TableContents"/>
              <w:bidi w:val="0"/>
              <w:spacing w:before="0" w:after="283"/>
              <w:jc w:val="right"/>
              <w:rPr/>
            </w:pPr>
            <w:r>
              <w:rPr>
                <w:rStyle w:val="StrongEmphasis"/>
              </w:rPr>
              <w:t>1,450,982,068</w:t>
            </w:r>
          </w:p>
        </w:tc>
        <w:tc>
          <w:tcPr>
            <w:tcW w:w="1591" w:type="dxa"/>
            <w:tcBorders/>
            <w:vAlign w:val="center"/>
          </w:tcPr>
          <w:p>
            <w:pPr>
              <w:pStyle w:val="TableContents"/>
              <w:bidi w:val="0"/>
              <w:spacing w:before="0" w:after="283"/>
              <w:jc w:val="right"/>
              <w:rPr/>
            </w:pPr>
            <w:r>
              <w:rPr>
                <w:rStyle w:val="StrongEmphasis"/>
              </w:rPr>
              <w:t>106,890,664</w:t>
            </w:r>
          </w:p>
        </w:tc>
      </w:tr>
      <w:tr>
        <w:trPr/>
        <w:tc>
          <w:tcPr>
            <w:tcW w:w="6271" w:type="dxa"/>
            <w:tcBorders/>
            <w:vAlign w:val="center"/>
          </w:tcPr>
          <w:p>
            <w:pPr>
              <w:pStyle w:val="TableContents"/>
              <w:bidi w:val="0"/>
              <w:spacing w:before="0" w:after="283"/>
              <w:jc w:val="left"/>
              <w:rPr/>
            </w:pPr>
            <w:r>
              <w:rPr>
                <w:rStyle w:val="StrongEmphasis"/>
              </w:rPr>
              <w:t>Total liabilities</w:t>
            </w:r>
          </w:p>
        </w:tc>
        <w:tc>
          <w:tcPr>
            <w:tcW w:w="2086" w:type="dxa"/>
            <w:tcBorders/>
            <w:vAlign w:val="center"/>
          </w:tcPr>
          <w:p>
            <w:pPr>
              <w:pStyle w:val="TableContents"/>
              <w:bidi w:val="0"/>
              <w:spacing w:before="0" w:after="283"/>
              <w:jc w:val="right"/>
              <w:rPr/>
            </w:pPr>
            <w:r>
              <w:rPr>
                <w:rStyle w:val="StrongEmphasis"/>
              </w:rPr>
              <w:t>2,204,632,852</w:t>
            </w:r>
          </w:p>
        </w:tc>
        <w:tc>
          <w:tcPr>
            <w:tcW w:w="1591" w:type="dxa"/>
            <w:tcBorders/>
            <w:vAlign w:val="center"/>
          </w:tcPr>
          <w:p>
            <w:pPr>
              <w:pStyle w:val="TableContents"/>
              <w:bidi w:val="0"/>
              <w:spacing w:before="0" w:after="283"/>
              <w:jc w:val="right"/>
              <w:rPr/>
            </w:pPr>
            <w:r>
              <w:rPr>
                <w:rStyle w:val="StrongEmphasis"/>
              </w:rPr>
              <w:t>777,629,512</w:t>
            </w:r>
          </w:p>
        </w:tc>
      </w:tr>
      <w:tr>
        <w:trPr/>
        <w:tc>
          <w:tcPr>
            <w:tcW w:w="6271" w:type="dxa"/>
            <w:tcBorders/>
            <w:vAlign w:val="center"/>
          </w:tcPr>
          <w:p>
            <w:pPr>
              <w:pStyle w:val="TableContents"/>
              <w:bidi w:val="0"/>
              <w:spacing w:before="0" w:after="283"/>
              <w:jc w:val="left"/>
              <w:rPr/>
            </w:pPr>
            <w:r>
              <w:rPr/>
              <w:t>Total shareholders’ equity</w:t>
            </w:r>
          </w:p>
        </w:tc>
        <w:tc>
          <w:tcPr>
            <w:tcW w:w="2086" w:type="dxa"/>
            <w:tcBorders/>
            <w:vAlign w:val="center"/>
          </w:tcPr>
          <w:p>
            <w:pPr>
              <w:pStyle w:val="TableContents"/>
              <w:bidi w:val="0"/>
              <w:spacing w:before="0" w:after="283"/>
              <w:jc w:val="right"/>
              <w:rPr/>
            </w:pPr>
            <w:r>
              <w:rPr/>
              <w:t>119,680,242</w:t>
            </w:r>
          </w:p>
        </w:tc>
        <w:tc>
          <w:tcPr>
            <w:tcW w:w="1591" w:type="dxa"/>
            <w:tcBorders/>
            <w:vAlign w:val="center"/>
          </w:tcPr>
          <w:p>
            <w:pPr>
              <w:pStyle w:val="TableContents"/>
              <w:bidi w:val="0"/>
              <w:spacing w:before="0" w:after="283"/>
              <w:jc w:val="right"/>
              <w:rPr/>
            </w:pPr>
            <w:r>
              <w:rPr/>
              <w:t>112,076,464</w:t>
            </w:r>
          </w:p>
        </w:tc>
      </w:tr>
      <w:tr>
        <w:trPr/>
        <w:tc>
          <w:tcPr>
            <w:tcW w:w="6271" w:type="dxa"/>
            <w:tcBorders/>
            <w:vAlign w:val="center"/>
          </w:tcPr>
          <w:p>
            <w:pPr>
              <w:pStyle w:val="TableContents"/>
              <w:bidi w:val="0"/>
              <w:spacing w:before="0" w:after="283"/>
              <w:jc w:val="left"/>
              <w:rPr/>
            </w:pPr>
            <w:r>
              <w:rPr/>
              <w:t>Non-controlling interests</w:t>
            </w:r>
          </w:p>
        </w:tc>
        <w:tc>
          <w:tcPr>
            <w:tcW w:w="2086" w:type="dxa"/>
            <w:tcBorders/>
            <w:vAlign w:val="center"/>
          </w:tcPr>
          <w:p>
            <w:pPr>
              <w:pStyle w:val="TableContents"/>
              <w:bidi w:val="0"/>
              <w:spacing w:before="0" w:after="283"/>
              <w:jc w:val="right"/>
              <w:rPr/>
            </w:pPr>
            <w:r>
              <w:rPr/>
              <w:t>82,639,406</w:t>
            </w:r>
          </w:p>
        </w:tc>
        <w:tc>
          <w:tcPr>
            <w:tcW w:w="1591" w:type="dxa"/>
            <w:tcBorders/>
            <w:vAlign w:val="center"/>
          </w:tcPr>
          <w:p>
            <w:pPr>
              <w:pStyle w:val="TableContents"/>
              <w:bidi w:val="0"/>
              <w:spacing w:before="0" w:after="283"/>
              <w:jc w:val="right"/>
              <w:rPr/>
            </w:pPr>
            <w:r>
              <w:rPr/>
              <w:t>71,717,686</w:t>
            </w:r>
          </w:p>
        </w:tc>
      </w:tr>
      <w:tr>
        <w:trPr/>
        <w:tc>
          <w:tcPr>
            <w:tcW w:w="6271" w:type="dxa"/>
            <w:tcBorders/>
            <w:vAlign w:val="center"/>
          </w:tcPr>
          <w:p>
            <w:pPr>
              <w:pStyle w:val="TableContents"/>
              <w:bidi w:val="0"/>
              <w:spacing w:before="0" w:after="283"/>
              <w:jc w:val="left"/>
              <w:rPr/>
            </w:pPr>
            <w:r>
              <w:rPr>
                <w:rStyle w:val="StrongEmphasis"/>
              </w:rPr>
              <w:t>Total equity</w:t>
            </w:r>
          </w:p>
        </w:tc>
        <w:tc>
          <w:tcPr>
            <w:tcW w:w="2086" w:type="dxa"/>
            <w:tcBorders/>
            <w:vAlign w:val="center"/>
          </w:tcPr>
          <w:p>
            <w:pPr>
              <w:pStyle w:val="TableContents"/>
              <w:bidi w:val="0"/>
              <w:spacing w:before="0" w:after="283"/>
              <w:jc w:val="right"/>
              <w:rPr/>
            </w:pPr>
            <w:r>
              <w:rPr>
                <w:rStyle w:val="StrongEmphasis"/>
              </w:rPr>
              <w:t>202,319,648</w:t>
            </w:r>
          </w:p>
        </w:tc>
        <w:tc>
          <w:tcPr>
            <w:tcW w:w="1591" w:type="dxa"/>
            <w:tcBorders/>
            <w:vAlign w:val="center"/>
          </w:tcPr>
          <w:p>
            <w:pPr>
              <w:pStyle w:val="TableContents"/>
              <w:bidi w:val="0"/>
              <w:spacing w:before="0" w:after="283"/>
              <w:jc w:val="right"/>
              <w:rPr/>
            </w:pPr>
            <w:r>
              <w:rPr>
                <w:rStyle w:val="StrongEmphasis"/>
              </w:rPr>
              <w:t>183,794,150</w:t>
            </w:r>
          </w:p>
        </w:tc>
      </w:tr>
      <w:tr>
        <w:trPr/>
        <w:tc>
          <w:tcPr>
            <w:tcW w:w="6271" w:type="dxa"/>
            <w:tcBorders/>
            <w:vAlign w:val="center"/>
          </w:tcPr>
          <w:p>
            <w:pPr>
              <w:pStyle w:val="TableContents"/>
              <w:bidi w:val="0"/>
              <w:spacing w:before="0" w:after="283"/>
              <w:jc w:val="left"/>
              <w:rPr/>
            </w:pPr>
            <w:r>
              <w:rPr>
                <w:rStyle w:val="StrongEmphasis"/>
              </w:rPr>
              <w:t>Total liabilities and shareholders’ equity</w:t>
            </w:r>
          </w:p>
        </w:tc>
        <w:tc>
          <w:tcPr>
            <w:tcW w:w="2086" w:type="dxa"/>
            <w:tcBorders/>
            <w:vAlign w:val="center"/>
          </w:tcPr>
          <w:p>
            <w:pPr>
              <w:pStyle w:val="TableContents"/>
              <w:bidi w:val="0"/>
              <w:spacing w:before="0" w:after="283"/>
              <w:jc w:val="right"/>
              <w:rPr/>
            </w:pPr>
            <w:r>
              <w:rPr>
                <w:rStyle w:val="StrongEmphasis"/>
              </w:rPr>
              <w:t>2,406,952,500</w:t>
            </w:r>
          </w:p>
        </w:tc>
        <w:tc>
          <w:tcPr>
            <w:tcW w:w="1591" w:type="dxa"/>
            <w:tcBorders/>
            <w:vAlign w:val="center"/>
          </w:tcPr>
          <w:p>
            <w:pPr>
              <w:pStyle w:val="TableContents"/>
              <w:bidi w:val="0"/>
              <w:spacing w:before="0" w:after="283"/>
              <w:jc w:val="right"/>
              <w:rPr/>
            </w:pPr>
            <w:r>
              <w:rPr>
                <w:rStyle w:val="StrongEmphasis"/>
              </w:rPr>
              <w:t>961,423,662</w:t>
            </w:r>
          </w:p>
        </w:tc>
      </w:tr>
      <w:tr>
        <w:trPr/>
        <w:tc>
          <w:tcPr>
            <w:tcW w:w="6271" w:type="dxa"/>
            <w:tcBorders/>
            <w:vAlign w:val="center"/>
          </w:tcPr>
          <w:p>
            <w:pPr>
              <w:pStyle w:val="TableContents"/>
              <w:bidi w:val="0"/>
              <w:spacing w:before="0" w:after="283"/>
              <w:jc w:val="left"/>
              <w:rPr/>
            </w:pPr>
            <w:r>
              <w:rPr/>
              <w:t> </w:t>
            </w:r>
          </w:p>
        </w:tc>
        <w:tc>
          <w:tcPr>
            <w:tcW w:w="2086" w:type="dxa"/>
            <w:tcBorders/>
            <w:vAlign w:val="center"/>
          </w:tcPr>
          <w:p>
            <w:pPr>
              <w:pStyle w:val="TableContents"/>
              <w:bidi w:val="0"/>
              <w:spacing w:before="0" w:after="283"/>
              <w:jc w:val="right"/>
              <w:rPr/>
            </w:pPr>
            <w:r>
              <w:rPr/>
              <w:t> </w:t>
            </w:r>
          </w:p>
        </w:tc>
        <w:tc>
          <w:tcPr>
            <w:tcW w:w="1591" w:type="dxa"/>
            <w:tcBorders/>
            <w:vAlign w:val="center"/>
          </w:tcPr>
          <w:p>
            <w:pPr>
              <w:pStyle w:val="TableContents"/>
              <w:bidi w:val="0"/>
              <w:spacing w:before="0" w:after="283"/>
              <w:jc w:val="right"/>
              <w:rPr/>
            </w:pPr>
            <w:r>
              <w:rPr/>
              <w:t> </w:t>
            </w:r>
          </w:p>
        </w:tc>
      </w:tr>
    </w:tbl>
    <w:p>
      <w:pPr>
        <w:pStyle w:val="TextBody"/>
        <w:bidi w:val="0"/>
        <w:spacing w:before="0" w:after="283"/>
        <w:jc w:val="left"/>
        <w:rPr/>
      </w:pPr>
      <w:r>
        <w:rPr/>
        <w:t>(i) Goodwill resulted from the acquisition of Aurelion on Oct 10, 2025.</w:t>
        <w:br/>
        <w:t>(ii) Other non-current assets include deferred offering costs, property and equipment, right-of-use assets and intangible assets.</w:t>
        <w:br/>
        <w:t>(iii) Accrued expenses and other current liabilities include accrued liabilities, other payables and the current portion of lease liabilities.</w:t>
      </w:r>
    </w:p>
    <w:tbl>
      <w:tblPr>
        <w:tblW w:w="10205" w:type="dxa"/>
        <w:jc w:val="left"/>
        <w:tblInd w:w="0" w:type="dxa"/>
        <w:tblLayout w:type="fixed"/>
        <w:tblCellMar>
          <w:top w:w="28" w:type="dxa"/>
          <w:left w:w="28" w:type="dxa"/>
          <w:bottom w:w="28" w:type="dxa"/>
          <w:right w:w="28" w:type="dxa"/>
        </w:tblCellMar>
      </w:tblPr>
      <w:tblGrid>
        <w:gridCol w:w="4420"/>
        <w:gridCol w:w="1264"/>
        <w:gridCol w:w="193"/>
        <w:gridCol w:w="1345"/>
        <w:gridCol w:w="193"/>
        <w:gridCol w:w="1237"/>
        <w:gridCol w:w="1315"/>
        <w:gridCol w:w="238"/>
      </w:tblGrid>
      <w:tr>
        <w:trPr/>
        <w:tc>
          <w:tcPr>
            <w:tcW w:w="10205" w:type="dxa"/>
            <w:gridSpan w:val="8"/>
            <w:tcBorders/>
            <w:vAlign w:val="center"/>
          </w:tcPr>
          <w:p>
            <w:pPr>
              <w:pStyle w:val="TableContents"/>
              <w:bidi w:val="0"/>
              <w:spacing w:before="0" w:after="283"/>
              <w:jc w:val="center"/>
              <w:rPr/>
            </w:pPr>
            <w:r>
              <w:rPr>
                <w:rStyle w:val="StrongEmphasis"/>
              </w:rPr>
              <w:t>Antalpha Platform Holding Company</w:t>
              <w:br/>
              <w:t>Condensed Combined and Consolidated Statements of Income</w:t>
              <w:br/>
            </w:r>
            <w:r>
              <w:rPr/>
              <w:t>(in USD, except for shares data, unaudited)</w:t>
            </w:r>
          </w:p>
        </w:tc>
      </w:tr>
      <w:tr>
        <w:trPr/>
        <w:tc>
          <w:tcPr>
            <w:tcW w:w="4420" w:type="dxa"/>
            <w:vMerge w:val="restart"/>
            <w:tcBorders/>
            <w:vAlign w:val="center"/>
          </w:tcPr>
          <w:p>
            <w:pPr>
              <w:pStyle w:val="TableContents"/>
              <w:bidi w:val="0"/>
              <w:spacing w:before="0" w:after="283"/>
              <w:jc w:val="left"/>
              <w:rPr/>
            </w:pPr>
            <w:r>
              <w:rPr/>
              <w:t> </w:t>
            </w:r>
          </w:p>
        </w:tc>
        <w:tc>
          <w:tcPr>
            <w:tcW w:w="2995" w:type="dxa"/>
            <w:gridSpan w:val="4"/>
            <w:tcBorders/>
            <w:vAlign w:val="center"/>
          </w:tcPr>
          <w:p>
            <w:pPr>
              <w:pStyle w:val="TableContents"/>
              <w:bidi w:val="0"/>
              <w:spacing w:before="0" w:after="283"/>
              <w:jc w:val="center"/>
              <w:rPr/>
            </w:pPr>
            <w:r>
              <w:rPr>
                <w:rStyle w:val="StrongEmphasis"/>
              </w:rPr>
              <w:t>Three months ended June 30,</w:t>
            </w:r>
          </w:p>
        </w:tc>
        <w:tc>
          <w:tcPr>
            <w:tcW w:w="2790" w:type="dxa"/>
            <w:gridSpan w:val="3"/>
            <w:tcBorders/>
            <w:vAlign w:val="center"/>
          </w:tcPr>
          <w:p>
            <w:pPr>
              <w:pStyle w:val="TableContents"/>
              <w:bidi w:val="0"/>
              <w:spacing w:before="0" w:after="283"/>
              <w:jc w:val="center"/>
              <w:rPr/>
            </w:pPr>
            <w:r>
              <w:rPr>
                <w:rStyle w:val="StrongEmphasis"/>
              </w:rPr>
              <w:t>Six months ended June 30,</w:t>
            </w:r>
          </w:p>
        </w:tc>
      </w:tr>
      <w:tr>
        <w:trPr/>
        <w:tc>
          <w:tcPr>
            <w:tcW w:w="4420" w:type="dxa"/>
            <w:vMerge w:val="continue"/>
            <w:tcBorders/>
            <w:vAlign w:val="center"/>
          </w:tcPr>
          <w:p>
            <w:pPr>
              <w:pStyle w:val="Normal"/>
              <w:bidi w:val="0"/>
              <w:jc w:val="left"/>
              <w:rPr/>
            </w:pPr>
            <w:r>
              <w:rPr/>
            </w:r>
          </w:p>
        </w:tc>
        <w:tc>
          <w:tcPr>
            <w:tcW w:w="1457" w:type="dxa"/>
            <w:gridSpan w:val="2"/>
            <w:tcBorders/>
            <w:vAlign w:val="center"/>
          </w:tcPr>
          <w:p>
            <w:pPr>
              <w:pStyle w:val="TableContents"/>
              <w:bidi w:val="0"/>
              <w:spacing w:before="0" w:after="283"/>
              <w:jc w:val="center"/>
              <w:rPr/>
            </w:pPr>
            <w:r>
              <w:rPr>
                <w:rStyle w:val="StrongEmphasis"/>
              </w:rPr>
              <w:t>2025</w:t>
            </w:r>
          </w:p>
        </w:tc>
        <w:tc>
          <w:tcPr>
            <w:tcW w:w="1538" w:type="dxa"/>
            <w:gridSpan w:val="2"/>
            <w:tcBorders/>
            <w:vAlign w:val="center"/>
          </w:tcPr>
          <w:p>
            <w:pPr>
              <w:pStyle w:val="TableContents"/>
              <w:bidi w:val="0"/>
              <w:spacing w:before="0" w:after="283"/>
              <w:jc w:val="center"/>
              <w:rPr/>
            </w:pPr>
            <w:r>
              <w:rPr>
                <w:rStyle w:val="StrongEmphasis"/>
              </w:rPr>
              <w:t>2026</w:t>
            </w:r>
            <w:r>
              <w:rPr/>
              <w:t> </w:t>
            </w:r>
          </w:p>
        </w:tc>
        <w:tc>
          <w:tcPr>
            <w:tcW w:w="1237" w:type="dxa"/>
            <w:tcBorders/>
            <w:vAlign w:val="center"/>
          </w:tcPr>
          <w:p>
            <w:pPr>
              <w:pStyle w:val="TableContents"/>
              <w:bidi w:val="0"/>
              <w:spacing w:before="0" w:after="283"/>
              <w:jc w:val="center"/>
              <w:rPr/>
            </w:pPr>
            <w:r>
              <w:rPr>
                <w:rStyle w:val="StrongEmphasis"/>
              </w:rPr>
              <w:t>2025</w:t>
            </w:r>
          </w:p>
        </w:tc>
        <w:tc>
          <w:tcPr>
            <w:tcW w:w="1553" w:type="dxa"/>
            <w:gridSpan w:val="2"/>
            <w:tcBorders/>
            <w:vAlign w:val="center"/>
          </w:tcPr>
          <w:p>
            <w:pPr>
              <w:pStyle w:val="TableContents"/>
              <w:bidi w:val="0"/>
              <w:spacing w:before="0" w:after="283"/>
              <w:jc w:val="center"/>
              <w:rPr/>
            </w:pPr>
            <w:r>
              <w:rPr>
                <w:rStyle w:val="StrongEmphasis"/>
              </w:rPr>
              <w:t>2026</w:t>
            </w:r>
          </w:p>
        </w:tc>
      </w:tr>
      <w:tr>
        <w:trPr/>
        <w:tc>
          <w:tcPr>
            <w:tcW w:w="4420" w:type="dxa"/>
            <w:tcBorders/>
            <w:vAlign w:val="center"/>
          </w:tcPr>
          <w:p>
            <w:pPr>
              <w:pStyle w:val="TableContents"/>
              <w:bidi w:val="0"/>
              <w:spacing w:before="0" w:after="283"/>
              <w:jc w:val="left"/>
              <w:rPr/>
            </w:pPr>
            <w:r>
              <w:rPr>
                <w:rStyle w:val="StrongEmphasis"/>
              </w:rPr>
              <w:t>Revenue</w:t>
            </w:r>
          </w:p>
        </w:tc>
        <w:tc>
          <w:tcPr>
            <w:tcW w:w="1457" w:type="dxa"/>
            <w:gridSpan w:val="2"/>
            <w:tcBorders/>
            <w:vAlign w:val="center"/>
          </w:tcPr>
          <w:p>
            <w:pPr>
              <w:pStyle w:val="TableContents"/>
              <w:bidi w:val="0"/>
              <w:spacing w:before="0" w:after="283"/>
              <w:jc w:val="right"/>
              <w:rPr/>
            </w:pPr>
            <w:r>
              <w:rPr/>
              <w:t> </w:t>
            </w:r>
          </w:p>
        </w:tc>
        <w:tc>
          <w:tcPr>
            <w:tcW w:w="1538" w:type="dxa"/>
            <w:gridSpan w:val="2"/>
            <w:tcBorders/>
            <w:vAlign w:val="center"/>
          </w:tcPr>
          <w:p>
            <w:pPr>
              <w:pStyle w:val="TableContents"/>
              <w:bidi w:val="0"/>
              <w:spacing w:before="0" w:after="283"/>
              <w:jc w:val="right"/>
              <w:rPr/>
            </w:pPr>
            <w:r>
              <w:rPr/>
              <w:t> </w:t>
            </w:r>
          </w:p>
        </w:tc>
        <w:tc>
          <w:tcPr>
            <w:tcW w:w="1237" w:type="dxa"/>
            <w:tcBorders/>
            <w:vAlign w:val="center"/>
          </w:tcPr>
          <w:p>
            <w:pPr>
              <w:pStyle w:val="TableContents"/>
              <w:bidi w:val="0"/>
              <w:spacing w:before="0" w:after="283"/>
              <w:jc w:val="right"/>
              <w:rPr/>
            </w:pPr>
            <w:r>
              <w:rPr/>
              <w:t> </w:t>
            </w:r>
          </w:p>
        </w:tc>
        <w:tc>
          <w:tcPr>
            <w:tcW w:w="1553" w:type="dxa"/>
            <w:gridSpan w:val="2"/>
            <w:tcBorders/>
            <w:vAlign w:val="center"/>
          </w:tcPr>
          <w:p>
            <w:pPr>
              <w:pStyle w:val="TableContents"/>
              <w:bidi w:val="0"/>
              <w:spacing w:before="0" w:after="283"/>
              <w:jc w:val="right"/>
              <w:rPr/>
            </w:pPr>
            <w:r>
              <w:rPr/>
              <w:t> </w:t>
            </w:r>
          </w:p>
        </w:tc>
      </w:tr>
      <w:tr>
        <w:trPr/>
        <w:tc>
          <w:tcPr>
            <w:tcW w:w="4420" w:type="dxa"/>
            <w:tcBorders/>
            <w:tcMar>
              <w:top w:w="0" w:type="dxa"/>
              <w:left w:w="0" w:type="dxa"/>
              <w:bottom w:w="0" w:type="dxa"/>
              <w:right w:w="0" w:type="dxa"/>
            </w:tcMar>
            <w:vAlign w:val="center"/>
          </w:tcPr>
          <w:p>
            <w:pPr>
              <w:pStyle w:val="TableContents"/>
              <w:bidi w:val="0"/>
              <w:spacing w:before="0" w:after="283"/>
              <w:jc w:val="left"/>
              <w:rPr/>
            </w:pPr>
            <w:r>
              <w:rPr/>
              <w:t>Technology financing fee</w:t>
            </w:r>
          </w:p>
        </w:tc>
        <w:tc>
          <w:tcPr>
            <w:tcW w:w="1264" w:type="dxa"/>
            <w:tcBorders/>
            <w:vAlign w:val="center"/>
          </w:tcPr>
          <w:p>
            <w:pPr>
              <w:pStyle w:val="TableContents"/>
              <w:bidi w:val="0"/>
              <w:spacing w:before="0" w:after="283"/>
              <w:jc w:val="right"/>
              <w:rPr/>
            </w:pPr>
            <w:r>
              <w:rPr/>
              <w:t>12,945,038</w:t>
            </w:r>
          </w:p>
        </w:tc>
        <w:tc>
          <w:tcPr>
            <w:tcW w:w="193"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7,748,917</w:t>
            </w:r>
          </w:p>
        </w:tc>
        <w:tc>
          <w:tcPr>
            <w:tcW w:w="193" w:type="dxa"/>
            <w:tcBorders/>
            <w:vAlign w:val="center"/>
          </w:tcPr>
          <w:p>
            <w:pPr>
              <w:pStyle w:val="TableContents"/>
              <w:bidi w:val="0"/>
              <w:spacing w:before="0" w:after="283"/>
              <w:jc w:val="left"/>
              <w:rPr/>
            </w:pPr>
            <w:r>
              <w:rPr/>
              <w:t> </w:t>
            </w:r>
          </w:p>
        </w:tc>
        <w:tc>
          <w:tcPr>
            <w:tcW w:w="1237" w:type="dxa"/>
            <w:tcBorders/>
            <w:vAlign w:val="center"/>
          </w:tcPr>
          <w:p>
            <w:pPr>
              <w:pStyle w:val="TableContents"/>
              <w:bidi w:val="0"/>
              <w:spacing w:before="0" w:after="283"/>
              <w:jc w:val="right"/>
              <w:rPr/>
            </w:pPr>
            <w:r>
              <w:rPr/>
              <w:t>23,025,411</w:t>
            </w:r>
          </w:p>
        </w:tc>
        <w:tc>
          <w:tcPr>
            <w:tcW w:w="1315" w:type="dxa"/>
            <w:tcBorders/>
            <w:vAlign w:val="center"/>
          </w:tcPr>
          <w:p>
            <w:pPr>
              <w:pStyle w:val="TableContents"/>
              <w:bidi w:val="0"/>
              <w:spacing w:before="0" w:after="283"/>
              <w:jc w:val="right"/>
              <w:rPr/>
            </w:pPr>
            <w:r>
              <w:rPr/>
              <w:t>22,765,698</w:t>
            </w:r>
          </w:p>
        </w:tc>
        <w:tc>
          <w:tcPr>
            <w:tcW w:w="238" w:type="dxa"/>
            <w:tcBorders/>
            <w:vAlign w:val="center"/>
          </w:tcPr>
          <w:p>
            <w:pPr>
              <w:pStyle w:val="TableContents"/>
              <w:bidi w:val="0"/>
              <w:spacing w:before="0" w:after="283"/>
              <w:jc w:val="left"/>
              <w:rPr/>
            </w:pPr>
            <w:r>
              <w:rPr/>
              <w:t> </w:t>
            </w:r>
          </w:p>
        </w:tc>
      </w:tr>
      <w:tr>
        <w:trPr/>
        <w:tc>
          <w:tcPr>
            <w:tcW w:w="4420" w:type="dxa"/>
            <w:tcBorders/>
            <w:tcMar>
              <w:top w:w="0" w:type="dxa"/>
              <w:left w:w="0" w:type="dxa"/>
              <w:bottom w:w="0" w:type="dxa"/>
              <w:right w:w="0" w:type="dxa"/>
            </w:tcMar>
            <w:vAlign w:val="center"/>
          </w:tcPr>
          <w:p>
            <w:pPr>
              <w:pStyle w:val="TableContents"/>
              <w:bidi w:val="0"/>
              <w:spacing w:before="0" w:after="283"/>
              <w:jc w:val="left"/>
              <w:rPr/>
            </w:pPr>
            <w:r>
              <w:rPr/>
              <w:t>Technology platform fee</w:t>
            </w:r>
          </w:p>
        </w:tc>
        <w:tc>
          <w:tcPr>
            <w:tcW w:w="1264" w:type="dxa"/>
            <w:tcBorders/>
            <w:vAlign w:val="center"/>
          </w:tcPr>
          <w:p>
            <w:pPr>
              <w:pStyle w:val="TableContents"/>
              <w:bidi w:val="0"/>
              <w:spacing w:before="0" w:after="283"/>
              <w:jc w:val="right"/>
              <w:rPr/>
            </w:pPr>
            <w:r>
              <w:rPr/>
              <w:t>4,064,717</w:t>
            </w:r>
          </w:p>
        </w:tc>
        <w:tc>
          <w:tcPr>
            <w:tcW w:w="193"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4,454,090</w:t>
            </w:r>
          </w:p>
        </w:tc>
        <w:tc>
          <w:tcPr>
            <w:tcW w:w="193" w:type="dxa"/>
            <w:tcBorders/>
            <w:vAlign w:val="center"/>
          </w:tcPr>
          <w:p>
            <w:pPr>
              <w:pStyle w:val="TableContents"/>
              <w:bidi w:val="0"/>
              <w:spacing w:before="0" w:after="283"/>
              <w:jc w:val="left"/>
              <w:rPr/>
            </w:pPr>
            <w:r>
              <w:rPr/>
              <w:t> </w:t>
            </w:r>
          </w:p>
        </w:tc>
        <w:tc>
          <w:tcPr>
            <w:tcW w:w="1237" w:type="dxa"/>
            <w:tcBorders/>
            <w:vAlign w:val="center"/>
          </w:tcPr>
          <w:p>
            <w:pPr>
              <w:pStyle w:val="TableContents"/>
              <w:bidi w:val="0"/>
              <w:spacing w:before="0" w:after="283"/>
              <w:jc w:val="right"/>
              <w:rPr/>
            </w:pPr>
            <w:r>
              <w:rPr/>
              <w:t>7,580,831</w:t>
            </w:r>
          </w:p>
        </w:tc>
        <w:tc>
          <w:tcPr>
            <w:tcW w:w="1315" w:type="dxa"/>
            <w:tcBorders/>
            <w:vAlign w:val="center"/>
          </w:tcPr>
          <w:p>
            <w:pPr>
              <w:pStyle w:val="TableContents"/>
              <w:bidi w:val="0"/>
              <w:spacing w:before="0" w:after="283"/>
              <w:jc w:val="right"/>
              <w:rPr/>
            </w:pPr>
            <w:r>
              <w:rPr/>
              <w:t>10,160,747</w:t>
            </w:r>
          </w:p>
        </w:tc>
        <w:tc>
          <w:tcPr>
            <w:tcW w:w="238" w:type="dxa"/>
            <w:tcBorders/>
            <w:vAlign w:val="center"/>
          </w:tcPr>
          <w:p>
            <w:pPr>
              <w:pStyle w:val="TableContents"/>
              <w:bidi w:val="0"/>
              <w:spacing w:before="0" w:after="283"/>
              <w:jc w:val="left"/>
              <w:rPr/>
            </w:pPr>
            <w:r>
              <w:rPr/>
              <w:t> </w:t>
            </w:r>
          </w:p>
        </w:tc>
      </w:tr>
      <w:tr>
        <w:trPr/>
        <w:tc>
          <w:tcPr>
            <w:tcW w:w="4420" w:type="dxa"/>
            <w:tcBorders/>
            <w:tcMar>
              <w:top w:w="0" w:type="dxa"/>
              <w:left w:w="0" w:type="dxa"/>
              <w:bottom w:w="0" w:type="dxa"/>
              <w:right w:w="0" w:type="dxa"/>
            </w:tcMar>
            <w:vAlign w:val="center"/>
          </w:tcPr>
          <w:p>
            <w:pPr>
              <w:pStyle w:val="TableContents"/>
              <w:bidi w:val="0"/>
              <w:spacing w:before="0" w:after="283"/>
              <w:jc w:val="left"/>
              <w:rPr/>
            </w:pPr>
            <w:r>
              <w:rPr/>
              <w:t>Others</w:t>
            </w:r>
          </w:p>
        </w:tc>
        <w:tc>
          <w:tcPr>
            <w:tcW w:w="1264" w:type="dxa"/>
            <w:tcBorders/>
            <w:vAlign w:val="center"/>
          </w:tcPr>
          <w:p>
            <w:pPr>
              <w:pStyle w:val="TableContents"/>
              <w:bidi w:val="0"/>
              <w:spacing w:before="0" w:after="283"/>
              <w:jc w:val="right"/>
              <w:rPr/>
            </w:pPr>
            <w:r>
              <w:rPr/>
              <w:t>—</w:t>
            </w:r>
          </w:p>
        </w:tc>
        <w:tc>
          <w:tcPr>
            <w:tcW w:w="193"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3,204</w:t>
            </w:r>
          </w:p>
        </w:tc>
        <w:tc>
          <w:tcPr>
            <w:tcW w:w="193" w:type="dxa"/>
            <w:tcBorders/>
            <w:vAlign w:val="center"/>
          </w:tcPr>
          <w:p>
            <w:pPr>
              <w:pStyle w:val="TableContents"/>
              <w:bidi w:val="0"/>
              <w:spacing w:before="0" w:after="283"/>
              <w:jc w:val="left"/>
              <w:rPr/>
            </w:pPr>
            <w:r>
              <w:rPr/>
              <w:t> </w:t>
            </w:r>
          </w:p>
        </w:tc>
        <w:tc>
          <w:tcPr>
            <w:tcW w:w="1237" w:type="dxa"/>
            <w:tcBorders/>
            <w:vAlign w:val="center"/>
          </w:tcPr>
          <w:p>
            <w:pPr>
              <w:pStyle w:val="TableContents"/>
              <w:bidi w:val="0"/>
              <w:spacing w:before="0" w:after="283"/>
              <w:jc w:val="right"/>
              <w:rPr/>
            </w:pPr>
            <w:r>
              <w:rPr/>
              <w:t>—</w:t>
            </w:r>
          </w:p>
        </w:tc>
        <w:tc>
          <w:tcPr>
            <w:tcW w:w="1315" w:type="dxa"/>
            <w:tcBorders/>
            <w:vAlign w:val="center"/>
          </w:tcPr>
          <w:p>
            <w:pPr>
              <w:pStyle w:val="TableContents"/>
              <w:bidi w:val="0"/>
              <w:spacing w:before="0" w:after="283"/>
              <w:jc w:val="right"/>
              <w:rPr/>
            </w:pPr>
            <w:r>
              <w:rPr/>
              <w:t>3,450</w:t>
            </w:r>
          </w:p>
        </w:tc>
        <w:tc>
          <w:tcPr>
            <w:tcW w:w="238" w:type="dxa"/>
            <w:tcBorders/>
            <w:vAlign w:val="center"/>
          </w:tcPr>
          <w:p>
            <w:pPr>
              <w:pStyle w:val="TableContents"/>
              <w:bidi w:val="0"/>
              <w:spacing w:before="0" w:after="283"/>
              <w:jc w:val="left"/>
              <w:rPr/>
            </w:pPr>
            <w:r>
              <w:rPr/>
              <w:t> </w:t>
            </w:r>
          </w:p>
        </w:tc>
      </w:tr>
      <w:tr>
        <w:trPr/>
        <w:tc>
          <w:tcPr>
            <w:tcW w:w="4420" w:type="dxa"/>
            <w:tcBorders/>
            <w:vAlign w:val="center"/>
          </w:tcPr>
          <w:p>
            <w:pPr>
              <w:pStyle w:val="TableContents"/>
              <w:bidi w:val="0"/>
              <w:spacing w:before="0" w:after="283"/>
              <w:jc w:val="left"/>
              <w:rPr/>
            </w:pPr>
            <w:r>
              <w:rPr>
                <w:rStyle w:val="StrongEmphasis"/>
              </w:rPr>
              <w:t>Total revenue</w:t>
            </w:r>
          </w:p>
        </w:tc>
        <w:tc>
          <w:tcPr>
            <w:tcW w:w="1264" w:type="dxa"/>
            <w:tcBorders/>
            <w:vAlign w:val="center"/>
          </w:tcPr>
          <w:p>
            <w:pPr>
              <w:pStyle w:val="TableContents"/>
              <w:bidi w:val="0"/>
              <w:spacing w:before="0" w:after="283"/>
              <w:jc w:val="right"/>
              <w:rPr/>
            </w:pPr>
            <w:r>
              <w:rPr>
                <w:rStyle w:val="StrongEmphasis"/>
              </w:rPr>
              <w:t>17,009,755</w:t>
            </w:r>
          </w:p>
        </w:tc>
        <w:tc>
          <w:tcPr>
            <w:tcW w:w="193"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rStyle w:val="StrongEmphasis"/>
              </w:rPr>
              <w:t>12,206,211</w:t>
            </w:r>
          </w:p>
        </w:tc>
        <w:tc>
          <w:tcPr>
            <w:tcW w:w="193" w:type="dxa"/>
            <w:tcBorders/>
            <w:vAlign w:val="center"/>
          </w:tcPr>
          <w:p>
            <w:pPr>
              <w:pStyle w:val="TableContents"/>
              <w:bidi w:val="0"/>
              <w:spacing w:before="0" w:after="283"/>
              <w:jc w:val="left"/>
              <w:rPr/>
            </w:pPr>
            <w:r>
              <w:rPr/>
              <w:t> </w:t>
            </w:r>
          </w:p>
        </w:tc>
        <w:tc>
          <w:tcPr>
            <w:tcW w:w="1237" w:type="dxa"/>
            <w:tcBorders/>
            <w:vAlign w:val="center"/>
          </w:tcPr>
          <w:p>
            <w:pPr>
              <w:pStyle w:val="TableContents"/>
              <w:bidi w:val="0"/>
              <w:spacing w:before="0" w:after="283"/>
              <w:jc w:val="right"/>
              <w:rPr/>
            </w:pPr>
            <w:r>
              <w:rPr>
                <w:rStyle w:val="StrongEmphasis"/>
              </w:rPr>
              <w:t>30,606,242</w:t>
            </w:r>
          </w:p>
        </w:tc>
        <w:tc>
          <w:tcPr>
            <w:tcW w:w="1315" w:type="dxa"/>
            <w:tcBorders/>
            <w:vAlign w:val="center"/>
          </w:tcPr>
          <w:p>
            <w:pPr>
              <w:pStyle w:val="TableContents"/>
              <w:bidi w:val="0"/>
              <w:spacing w:before="0" w:after="283"/>
              <w:jc w:val="right"/>
              <w:rPr/>
            </w:pPr>
            <w:r>
              <w:rPr>
                <w:rStyle w:val="StrongEmphasis"/>
              </w:rPr>
              <w:t>32,929,895</w:t>
            </w:r>
          </w:p>
        </w:tc>
        <w:tc>
          <w:tcPr>
            <w:tcW w:w="238" w:type="dxa"/>
            <w:tcBorders/>
            <w:vAlign w:val="center"/>
          </w:tcPr>
          <w:p>
            <w:pPr>
              <w:pStyle w:val="TableContents"/>
              <w:bidi w:val="0"/>
              <w:spacing w:before="0" w:after="283"/>
              <w:jc w:val="left"/>
              <w:rPr/>
            </w:pPr>
            <w:r>
              <w:rPr/>
              <w:t> </w:t>
            </w:r>
          </w:p>
        </w:tc>
      </w:tr>
      <w:tr>
        <w:trPr/>
        <w:tc>
          <w:tcPr>
            <w:tcW w:w="4420" w:type="dxa"/>
            <w:tcBorders/>
            <w:vAlign w:val="center"/>
          </w:tcPr>
          <w:p>
            <w:pPr>
              <w:pStyle w:val="TableContents"/>
              <w:bidi w:val="0"/>
              <w:spacing w:before="0" w:after="283"/>
              <w:jc w:val="left"/>
              <w:rPr/>
            </w:pPr>
            <w:r>
              <w:rPr>
                <w:rStyle w:val="StrongEmphasis"/>
              </w:rPr>
              <w:t>Operating expenses</w:t>
            </w:r>
          </w:p>
        </w:tc>
        <w:tc>
          <w:tcPr>
            <w:tcW w:w="1457" w:type="dxa"/>
            <w:gridSpan w:val="2"/>
            <w:tcBorders/>
            <w:vAlign w:val="center"/>
          </w:tcPr>
          <w:p>
            <w:pPr>
              <w:pStyle w:val="TableContents"/>
              <w:bidi w:val="0"/>
              <w:spacing w:before="0" w:after="283"/>
              <w:jc w:val="right"/>
              <w:rPr/>
            </w:pPr>
            <w:r>
              <w:rPr/>
              <w:t> </w:t>
            </w:r>
          </w:p>
        </w:tc>
        <w:tc>
          <w:tcPr>
            <w:tcW w:w="1538" w:type="dxa"/>
            <w:gridSpan w:val="2"/>
            <w:tcBorders/>
            <w:vAlign w:val="center"/>
          </w:tcPr>
          <w:p>
            <w:pPr>
              <w:pStyle w:val="TableContents"/>
              <w:bidi w:val="0"/>
              <w:spacing w:before="0" w:after="283"/>
              <w:jc w:val="right"/>
              <w:rPr/>
            </w:pPr>
            <w:r>
              <w:rPr/>
              <w:t> </w:t>
            </w:r>
          </w:p>
        </w:tc>
        <w:tc>
          <w:tcPr>
            <w:tcW w:w="1237" w:type="dxa"/>
            <w:tcBorders/>
            <w:vAlign w:val="center"/>
          </w:tcPr>
          <w:p>
            <w:pPr>
              <w:pStyle w:val="TableContents"/>
              <w:bidi w:val="0"/>
              <w:spacing w:before="0" w:after="283"/>
              <w:jc w:val="right"/>
              <w:rPr/>
            </w:pPr>
            <w:r>
              <w:rPr/>
              <w:t> </w:t>
            </w:r>
          </w:p>
        </w:tc>
        <w:tc>
          <w:tcPr>
            <w:tcW w:w="1553" w:type="dxa"/>
            <w:gridSpan w:val="2"/>
            <w:tcBorders/>
            <w:vAlign w:val="center"/>
          </w:tcPr>
          <w:p>
            <w:pPr>
              <w:pStyle w:val="TableContents"/>
              <w:bidi w:val="0"/>
              <w:spacing w:before="0" w:after="283"/>
              <w:jc w:val="right"/>
              <w:rPr/>
            </w:pPr>
            <w:r>
              <w:rPr/>
              <w:t> </w:t>
            </w:r>
          </w:p>
        </w:tc>
      </w:tr>
      <w:tr>
        <w:trPr/>
        <w:tc>
          <w:tcPr>
            <w:tcW w:w="4420" w:type="dxa"/>
            <w:tcBorders/>
            <w:tcMar>
              <w:top w:w="0" w:type="dxa"/>
              <w:left w:w="0" w:type="dxa"/>
              <w:bottom w:w="0" w:type="dxa"/>
              <w:right w:w="0" w:type="dxa"/>
            </w:tcMar>
            <w:vAlign w:val="center"/>
          </w:tcPr>
          <w:p>
            <w:pPr>
              <w:pStyle w:val="TableContents"/>
              <w:bidi w:val="0"/>
              <w:spacing w:before="0" w:after="283"/>
              <w:jc w:val="left"/>
              <w:rPr/>
            </w:pPr>
            <w:r>
              <w:rPr/>
              <w:t>Funding cost</w:t>
            </w:r>
          </w:p>
        </w:tc>
        <w:tc>
          <w:tcPr>
            <w:tcW w:w="1264" w:type="dxa"/>
            <w:tcBorders/>
            <w:vAlign w:val="center"/>
          </w:tcPr>
          <w:p>
            <w:pPr>
              <w:pStyle w:val="TableContents"/>
              <w:bidi w:val="0"/>
              <w:spacing w:before="0" w:after="283"/>
              <w:jc w:val="right"/>
              <w:rPr/>
            </w:pPr>
            <w:r>
              <w:rPr/>
              <w:t>8,691,218</w:t>
            </w:r>
          </w:p>
        </w:tc>
        <w:tc>
          <w:tcPr>
            <w:tcW w:w="193"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5,263,476</w:t>
            </w:r>
          </w:p>
        </w:tc>
        <w:tc>
          <w:tcPr>
            <w:tcW w:w="193" w:type="dxa"/>
            <w:tcBorders/>
            <w:vAlign w:val="center"/>
          </w:tcPr>
          <w:p>
            <w:pPr>
              <w:pStyle w:val="TableContents"/>
              <w:bidi w:val="0"/>
              <w:spacing w:before="0" w:after="283"/>
              <w:jc w:val="left"/>
              <w:rPr/>
            </w:pPr>
            <w:r>
              <w:rPr/>
              <w:t> </w:t>
            </w:r>
          </w:p>
        </w:tc>
        <w:tc>
          <w:tcPr>
            <w:tcW w:w="1237" w:type="dxa"/>
            <w:tcBorders/>
            <w:vAlign w:val="center"/>
          </w:tcPr>
          <w:p>
            <w:pPr>
              <w:pStyle w:val="TableContents"/>
              <w:bidi w:val="0"/>
              <w:spacing w:before="0" w:after="283"/>
              <w:jc w:val="right"/>
              <w:rPr/>
            </w:pPr>
            <w:r>
              <w:rPr/>
              <w:t>15,257,264</w:t>
            </w:r>
          </w:p>
        </w:tc>
        <w:tc>
          <w:tcPr>
            <w:tcW w:w="1315" w:type="dxa"/>
            <w:tcBorders/>
            <w:vAlign w:val="center"/>
          </w:tcPr>
          <w:p>
            <w:pPr>
              <w:pStyle w:val="TableContents"/>
              <w:bidi w:val="0"/>
              <w:spacing w:before="0" w:after="283"/>
              <w:jc w:val="right"/>
              <w:rPr/>
            </w:pPr>
            <w:r>
              <w:rPr/>
              <w:t>15,694,648</w:t>
            </w:r>
          </w:p>
        </w:tc>
        <w:tc>
          <w:tcPr>
            <w:tcW w:w="238" w:type="dxa"/>
            <w:tcBorders/>
            <w:vAlign w:val="center"/>
          </w:tcPr>
          <w:p>
            <w:pPr>
              <w:pStyle w:val="TableContents"/>
              <w:bidi w:val="0"/>
              <w:spacing w:before="0" w:after="283"/>
              <w:jc w:val="left"/>
              <w:rPr/>
            </w:pPr>
            <w:r>
              <w:rPr/>
              <w:t> </w:t>
            </w:r>
          </w:p>
        </w:tc>
      </w:tr>
      <w:tr>
        <w:trPr/>
        <w:tc>
          <w:tcPr>
            <w:tcW w:w="4420" w:type="dxa"/>
            <w:tcBorders/>
            <w:tcMar>
              <w:top w:w="0" w:type="dxa"/>
              <w:left w:w="0" w:type="dxa"/>
              <w:bottom w:w="0" w:type="dxa"/>
              <w:right w:w="0" w:type="dxa"/>
            </w:tcMar>
            <w:vAlign w:val="center"/>
          </w:tcPr>
          <w:p>
            <w:pPr>
              <w:pStyle w:val="TableContents"/>
              <w:bidi w:val="0"/>
              <w:spacing w:before="0" w:after="283"/>
              <w:jc w:val="left"/>
              <w:rPr/>
            </w:pPr>
            <w:r>
              <w:rPr/>
              <w:t>Technology and development</w:t>
            </w:r>
          </w:p>
        </w:tc>
        <w:tc>
          <w:tcPr>
            <w:tcW w:w="1264" w:type="dxa"/>
            <w:tcBorders/>
            <w:vAlign w:val="center"/>
          </w:tcPr>
          <w:p>
            <w:pPr>
              <w:pStyle w:val="TableContents"/>
              <w:bidi w:val="0"/>
              <w:spacing w:before="0" w:after="283"/>
              <w:jc w:val="right"/>
              <w:rPr/>
            </w:pPr>
            <w:r>
              <w:rPr/>
              <w:t>1,356,386</w:t>
            </w:r>
          </w:p>
        </w:tc>
        <w:tc>
          <w:tcPr>
            <w:tcW w:w="193"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1,353,665</w:t>
            </w:r>
          </w:p>
        </w:tc>
        <w:tc>
          <w:tcPr>
            <w:tcW w:w="193" w:type="dxa"/>
            <w:tcBorders/>
            <w:vAlign w:val="center"/>
          </w:tcPr>
          <w:p>
            <w:pPr>
              <w:pStyle w:val="TableContents"/>
              <w:bidi w:val="0"/>
              <w:spacing w:before="0" w:after="283"/>
              <w:jc w:val="left"/>
              <w:rPr/>
            </w:pPr>
            <w:r>
              <w:rPr/>
              <w:t> </w:t>
            </w:r>
          </w:p>
        </w:tc>
        <w:tc>
          <w:tcPr>
            <w:tcW w:w="1237" w:type="dxa"/>
            <w:tcBorders/>
            <w:vAlign w:val="center"/>
          </w:tcPr>
          <w:p>
            <w:pPr>
              <w:pStyle w:val="TableContents"/>
              <w:bidi w:val="0"/>
              <w:spacing w:before="0" w:after="283"/>
              <w:jc w:val="right"/>
              <w:rPr/>
            </w:pPr>
            <w:r>
              <w:rPr/>
              <w:t>2,641,746</w:t>
            </w:r>
          </w:p>
        </w:tc>
        <w:tc>
          <w:tcPr>
            <w:tcW w:w="1315" w:type="dxa"/>
            <w:tcBorders/>
            <w:vAlign w:val="center"/>
          </w:tcPr>
          <w:p>
            <w:pPr>
              <w:pStyle w:val="TableContents"/>
              <w:bidi w:val="0"/>
              <w:spacing w:before="0" w:after="283"/>
              <w:jc w:val="right"/>
              <w:rPr/>
            </w:pPr>
            <w:r>
              <w:rPr/>
              <w:t>3,892,797</w:t>
            </w:r>
          </w:p>
        </w:tc>
        <w:tc>
          <w:tcPr>
            <w:tcW w:w="238" w:type="dxa"/>
            <w:tcBorders/>
            <w:vAlign w:val="center"/>
          </w:tcPr>
          <w:p>
            <w:pPr>
              <w:pStyle w:val="TableContents"/>
              <w:bidi w:val="0"/>
              <w:spacing w:before="0" w:after="283"/>
              <w:jc w:val="left"/>
              <w:rPr/>
            </w:pPr>
            <w:r>
              <w:rPr/>
              <w:t> </w:t>
            </w:r>
          </w:p>
        </w:tc>
      </w:tr>
      <w:tr>
        <w:trPr/>
        <w:tc>
          <w:tcPr>
            <w:tcW w:w="4420" w:type="dxa"/>
            <w:tcBorders/>
            <w:tcMar>
              <w:top w:w="0" w:type="dxa"/>
              <w:left w:w="0" w:type="dxa"/>
              <w:bottom w:w="0" w:type="dxa"/>
              <w:right w:w="0" w:type="dxa"/>
            </w:tcMar>
            <w:vAlign w:val="center"/>
          </w:tcPr>
          <w:p>
            <w:pPr>
              <w:pStyle w:val="TableContents"/>
              <w:bidi w:val="0"/>
              <w:spacing w:before="0" w:after="283"/>
              <w:jc w:val="left"/>
              <w:rPr/>
            </w:pPr>
            <w:r>
              <w:rPr/>
              <w:t>Sales and marketing</w:t>
            </w:r>
          </w:p>
        </w:tc>
        <w:tc>
          <w:tcPr>
            <w:tcW w:w="1264" w:type="dxa"/>
            <w:tcBorders/>
            <w:vAlign w:val="center"/>
          </w:tcPr>
          <w:p>
            <w:pPr>
              <w:pStyle w:val="TableContents"/>
              <w:bidi w:val="0"/>
              <w:spacing w:before="0" w:after="283"/>
              <w:jc w:val="right"/>
              <w:rPr/>
            </w:pPr>
            <w:r>
              <w:rPr/>
              <w:t>1,282,575</w:t>
            </w:r>
          </w:p>
        </w:tc>
        <w:tc>
          <w:tcPr>
            <w:tcW w:w="193"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2,194,527</w:t>
            </w:r>
          </w:p>
        </w:tc>
        <w:tc>
          <w:tcPr>
            <w:tcW w:w="193" w:type="dxa"/>
            <w:tcBorders/>
            <w:vAlign w:val="center"/>
          </w:tcPr>
          <w:p>
            <w:pPr>
              <w:pStyle w:val="TableContents"/>
              <w:bidi w:val="0"/>
              <w:spacing w:before="0" w:after="283"/>
              <w:jc w:val="left"/>
              <w:rPr/>
            </w:pPr>
            <w:r>
              <w:rPr/>
              <w:t> </w:t>
            </w:r>
          </w:p>
        </w:tc>
        <w:tc>
          <w:tcPr>
            <w:tcW w:w="1237" w:type="dxa"/>
            <w:tcBorders/>
            <w:vAlign w:val="center"/>
          </w:tcPr>
          <w:p>
            <w:pPr>
              <w:pStyle w:val="TableContents"/>
              <w:bidi w:val="0"/>
              <w:spacing w:before="0" w:after="283"/>
              <w:jc w:val="right"/>
              <w:rPr/>
            </w:pPr>
            <w:r>
              <w:rPr/>
              <w:t>2,255,391</w:t>
            </w:r>
          </w:p>
        </w:tc>
        <w:tc>
          <w:tcPr>
            <w:tcW w:w="1315" w:type="dxa"/>
            <w:tcBorders/>
            <w:vAlign w:val="center"/>
          </w:tcPr>
          <w:p>
            <w:pPr>
              <w:pStyle w:val="TableContents"/>
              <w:bidi w:val="0"/>
              <w:spacing w:before="0" w:after="283"/>
              <w:jc w:val="right"/>
              <w:rPr/>
            </w:pPr>
            <w:r>
              <w:rPr/>
              <w:t>6,786,664</w:t>
            </w:r>
          </w:p>
        </w:tc>
        <w:tc>
          <w:tcPr>
            <w:tcW w:w="238" w:type="dxa"/>
            <w:tcBorders/>
            <w:vAlign w:val="center"/>
          </w:tcPr>
          <w:p>
            <w:pPr>
              <w:pStyle w:val="TableContents"/>
              <w:bidi w:val="0"/>
              <w:spacing w:before="0" w:after="283"/>
              <w:jc w:val="left"/>
              <w:rPr/>
            </w:pPr>
            <w:r>
              <w:rPr/>
              <w:t> </w:t>
            </w:r>
          </w:p>
        </w:tc>
      </w:tr>
      <w:tr>
        <w:trPr/>
        <w:tc>
          <w:tcPr>
            <w:tcW w:w="4420" w:type="dxa"/>
            <w:tcBorders/>
            <w:tcMar>
              <w:top w:w="0" w:type="dxa"/>
              <w:left w:w="0" w:type="dxa"/>
              <w:bottom w:w="0" w:type="dxa"/>
              <w:right w:w="0" w:type="dxa"/>
            </w:tcMar>
            <w:vAlign w:val="center"/>
          </w:tcPr>
          <w:p>
            <w:pPr>
              <w:pStyle w:val="TableContents"/>
              <w:bidi w:val="0"/>
              <w:spacing w:before="0" w:after="283"/>
              <w:jc w:val="left"/>
              <w:rPr/>
            </w:pPr>
            <w:r>
              <w:rPr/>
              <w:t>General and administrative</w:t>
            </w:r>
          </w:p>
        </w:tc>
        <w:tc>
          <w:tcPr>
            <w:tcW w:w="1264" w:type="dxa"/>
            <w:tcBorders/>
            <w:vAlign w:val="center"/>
          </w:tcPr>
          <w:p>
            <w:pPr>
              <w:pStyle w:val="TableContents"/>
              <w:bidi w:val="0"/>
              <w:spacing w:before="0" w:after="283"/>
              <w:jc w:val="right"/>
              <w:rPr/>
            </w:pPr>
            <w:r>
              <w:rPr/>
              <w:t>5,710,860</w:t>
            </w:r>
          </w:p>
        </w:tc>
        <w:tc>
          <w:tcPr>
            <w:tcW w:w="193"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5,906,597</w:t>
            </w:r>
          </w:p>
        </w:tc>
        <w:tc>
          <w:tcPr>
            <w:tcW w:w="193" w:type="dxa"/>
            <w:tcBorders/>
            <w:vAlign w:val="center"/>
          </w:tcPr>
          <w:p>
            <w:pPr>
              <w:pStyle w:val="TableContents"/>
              <w:bidi w:val="0"/>
              <w:spacing w:before="0" w:after="283"/>
              <w:jc w:val="left"/>
              <w:rPr/>
            </w:pPr>
            <w:r>
              <w:rPr/>
              <w:t> </w:t>
            </w:r>
          </w:p>
        </w:tc>
        <w:tc>
          <w:tcPr>
            <w:tcW w:w="1237" w:type="dxa"/>
            <w:tcBorders/>
            <w:vAlign w:val="center"/>
          </w:tcPr>
          <w:p>
            <w:pPr>
              <w:pStyle w:val="TableContents"/>
              <w:bidi w:val="0"/>
              <w:spacing w:before="0" w:after="283"/>
              <w:jc w:val="right"/>
              <w:rPr/>
            </w:pPr>
            <w:r>
              <w:rPr/>
              <w:t>8,856,502</w:t>
            </w:r>
          </w:p>
        </w:tc>
        <w:tc>
          <w:tcPr>
            <w:tcW w:w="1315" w:type="dxa"/>
            <w:tcBorders/>
            <w:vAlign w:val="center"/>
          </w:tcPr>
          <w:p>
            <w:pPr>
              <w:pStyle w:val="TableContents"/>
              <w:bidi w:val="0"/>
              <w:spacing w:before="0" w:after="283"/>
              <w:jc w:val="right"/>
              <w:rPr/>
            </w:pPr>
            <w:r>
              <w:rPr/>
              <w:t>13,186,683</w:t>
            </w:r>
          </w:p>
        </w:tc>
        <w:tc>
          <w:tcPr>
            <w:tcW w:w="238" w:type="dxa"/>
            <w:tcBorders/>
            <w:vAlign w:val="center"/>
          </w:tcPr>
          <w:p>
            <w:pPr>
              <w:pStyle w:val="TableContents"/>
              <w:bidi w:val="0"/>
              <w:spacing w:before="0" w:after="283"/>
              <w:jc w:val="left"/>
              <w:rPr/>
            </w:pPr>
            <w:r>
              <w:rPr/>
              <w:t> </w:t>
            </w:r>
          </w:p>
        </w:tc>
      </w:tr>
      <w:tr>
        <w:trPr/>
        <w:tc>
          <w:tcPr>
            <w:tcW w:w="4420" w:type="dxa"/>
            <w:tcBorders/>
            <w:tcMar>
              <w:top w:w="0" w:type="dxa"/>
              <w:left w:w="0" w:type="dxa"/>
              <w:bottom w:w="0" w:type="dxa"/>
              <w:right w:w="0" w:type="dxa"/>
            </w:tcMar>
            <w:vAlign w:val="center"/>
          </w:tcPr>
          <w:p>
            <w:pPr>
              <w:pStyle w:val="TableContents"/>
              <w:bidi w:val="0"/>
              <w:spacing w:before="0" w:after="283"/>
              <w:jc w:val="left"/>
              <w:rPr/>
            </w:pPr>
            <w:r>
              <w:rPr/>
              <w:t>Fair value change on crypto assets</w:t>
            </w:r>
            <w:r>
              <w:rPr>
                <w:position w:val="8"/>
                <w:sz w:val="19"/>
              </w:rPr>
              <w:t>(i)</w:t>
            </w:r>
          </w:p>
        </w:tc>
        <w:tc>
          <w:tcPr>
            <w:tcW w:w="1264" w:type="dxa"/>
            <w:tcBorders/>
            <w:vAlign w:val="center"/>
          </w:tcPr>
          <w:p>
            <w:pPr>
              <w:pStyle w:val="TableContents"/>
              <w:bidi w:val="0"/>
              <w:spacing w:before="0" w:after="283"/>
              <w:jc w:val="right"/>
              <w:rPr/>
            </w:pPr>
            <w:r>
              <w:rPr/>
              <w:t>—</w:t>
            </w:r>
          </w:p>
        </w:tc>
        <w:tc>
          <w:tcPr>
            <w:tcW w:w="193"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22,289,289</w:t>
            </w:r>
          </w:p>
        </w:tc>
        <w:tc>
          <w:tcPr>
            <w:tcW w:w="193" w:type="dxa"/>
            <w:tcBorders/>
            <w:vAlign w:val="center"/>
          </w:tcPr>
          <w:p>
            <w:pPr>
              <w:pStyle w:val="TableContents"/>
              <w:bidi w:val="0"/>
              <w:spacing w:before="0" w:after="283"/>
              <w:jc w:val="left"/>
              <w:rPr/>
            </w:pPr>
            <w:r>
              <w:rPr/>
              <w:t> </w:t>
            </w:r>
          </w:p>
        </w:tc>
        <w:tc>
          <w:tcPr>
            <w:tcW w:w="1237" w:type="dxa"/>
            <w:tcBorders/>
            <w:vAlign w:val="center"/>
          </w:tcPr>
          <w:p>
            <w:pPr>
              <w:pStyle w:val="TableContents"/>
              <w:bidi w:val="0"/>
              <w:spacing w:before="0" w:after="283"/>
              <w:jc w:val="right"/>
              <w:rPr/>
            </w:pPr>
            <w:r>
              <w:rPr/>
              <w:t>—</w:t>
            </w:r>
          </w:p>
        </w:tc>
        <w:tc>
          <w:tcPr>
            <w:tcW w:w="1315" w:type="dxa"/>
            <w:tcBorders/>
            <w:vAlign w:val="center"/>
          </w:tcPr>
          <w:p>
            <w:pPr>
              <w:pStyle w:val="TableContents"/>
              <w:bidi w:val="0"/>
              <w:spacing w:before="0" w:after="283"/>
              <w:jc w:val="right"/>
              <w:rPr/>
            </w:pPr>
            <w:r>
              <w:rPr/>
              <w:t>11,352,092</w:t>
            </w:r>
          </w:p>
        </w:tc>
        <w:tc>
          <w:tcPr>
            <w:tcW w:w="238" w:type="dxa"/>
            <w:tcBorders/>
            <w:vAlign w:val="center"/>
          </w:tcPr>
          <w:p>
            <w:pPr>
              <w:pStyle w:val="TableContents"/>
              <w:bidi w:val="0"/>
              <w:spacing w:before="0" w:after="283"/>
              <w:jc w:val="left"/>
              <w:rPr/>
            </w:pPr>
            <w:r>
              <w:rPr/>
              <w:t> </w:t>
            </w:r>
          </w:p>
        </w:tc>
      </w:tr>
      <w:tr>
        <w:trPr/>
        <w:tc>
          <w:tcPr>
            <w:tcW w:w="4420" w:type="dxa"/>
            <w:tcBorders/>
            <w:tcMar>
              <w:top w:w="0" w:type="dxa"/>
              <w:left w:w="0" w:type="dxa"/>
              <w:bottom w:w="0" w:type="dxa"/>
              <w:right w:w="0" w:type="dxa"/>
            </w:tcMar>
            <w:vAlign w:val="center"/>
          </w:tcPr>
          <w:p>
            <w:pPr>
              <w:pStyle w:val="TableContents"/>
              <w:bidi w:val="0"/>
              <w:spacing w:before="0" w:after="283"/>
              <w:jc w:val="left"/>
              <w:rPr/>
            </w:pPr>
            <w:r>
              <w:rPr/>
              <w:t>Other cost</w:t>
            </w:r>
          </w:p>
        </w:tc>
        <w:tc>
          <w:tcPr>
            <w:tcW w:w="1264" w:type="dxa"/>
            <w:tcBorders/>
            <w:vAlign w:val="center"/>
          </w:tcPr>
          <w:p>
            <w:pPr>
              <w:pStyle w:val="TableContents"/>
              <w:bidi w:val="0"/>
              <w:spacing w:before="0" w:after="283"/>
              <w:jc w:val="right"/>
              <w:rPr/>
            </w:pPr>
            <w:r>
              <w:rPr/>
              <w:t>434,402</w:t>
            </w:r>
          </w:p>
        </w:tc>
        <w:tc>
          <w:tcPr>
            <w:tcW w:w="193"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269,558</w:t>
            </w:r>
          </w:p>
        </w:tc>
        <w:tc>
          <w:tcPr>
            <w:tcW w:w="193" w:type="dxa"/>
            <w:tcBorders/>
            <w:vAlign w:val="center"/>
          </w:tcPr>
          <w:p>
            <w:pPr>
              <w:pStyle w:val="TableContents"/>
              <w:bidi w:val="0"/>
              <w:spacing w:before="0" w:after="283"/>
              <w:jc w:val="left"/>
              <w:rPr/>
            </w:pPr>
            <w:r>
              <w:rPr/>
              <w:t> </w:t>
            </w:r>
          </w:p>
        </w:tc>
        <w:tc>
          <w:tcPr>
            <w:tcW w:w="1237" w:type="dxa"/>
            <w:tcBorders/>
            <w:vAlign w:val="center"/>
          </w:tcPr>
          <w:p>
            <w:pPr>
              <w:pStyle w:val="TableContents"/>
              <w:bidi w:val="0"/>
              <w:spacing w:before="0" w:after="283"/>
              <w:jc w:val="right"/>
              <w:rPr/>
            </w:pPr>
            <w:r>
              <w:rPr/>
              <w:t>883,312</w:t>
            </w:r>
          </w:p>
        </w:tc>
        <w:tc>
          <w:tcPr>
            <w:tcW w:w="1315" w:type="dxa"/>
            <w:tcBorders/>
            <w:vAlign w:val="center"/>
          </w:tcPr>
          <w:p>
            <w:pPr>
              <w:pStyle w:val="TableContents"/>
              <w:bidi w:val="0"/>
              <w:spacing w:before="0" w:after="283"/>
              <w:jc w:val="right"/>
              <w:rPr/>
            </w:pPr>
            <w:r>
              <w:rPr/>
              <w:t>456,717</w:t>
            </w:r>
          </w:p>
        </w:tc>
        <w:tc>
          <w:tcPr>
            <w:tcW w:w="238" w:type="dxa"/>
            <w:tcBorders/>
            <w:vAlign w:val="center"/>
          </w:tcPr>
          <w:p>
            <w:pPr>
              <w:pStyle w:val="TableContents"/>
              <w:bidi w:val="0"/>
              <w:spacing w:before="0" w:after="283"/>
              <w:jc w:val="left"/>
              <w:rPr/>
            </w:pPr>
            <w:r>
              <w:rPr/>
              <w:t> </w:t>
            </w:r>
          </w:p>
        </w:tc>
      </w:tr>
      <w:tr>
        <w:trPr/>
        <w:tc>
          <w:tcPr>
            <w:tcW w:w="4420" w:type="dxa"/>
            <w:tcBorders/>
            <w:vAlign w:val="center"/>
          </w:tcPr>
          <w:p>
            <w:pPr>
              <w:pStyle w:val="TableContents"/>
              <w:bidi w:val="0"/>
              <w:spacing w:before="0" w:after="283"/>
              <w:jc w:val="left"/>
              <w:rPr/>
            </w:pPr>
            <w:r>
              <w:rPr>
                <w:rStyle w:val="StrongEmphasis"/>
              </w:rPr>
              <w:t>Total operating expenses</w:t>
            </w:r>
          </w:p>
        </w:tc>
        <w:tc>
          <w:tcPr>
            <w:tcW w:w="1264" w:type="dxa"/>
            <w:tcBorders/>
            <w:vAlign w:val="center"/>
          </w:tcPr>
          <w:p>
            <w:pPr>
              <w:pStyle w:val="TableContents"/>
              <w:bidi w:val="0"/>
              <w:spacing w:before="0" w:after="283"/>
              <w:jc w:val="right"/>
              <w:rPr/>
            </w:pPr>
            <w:r>
              <w:rPr>
                <w:rStyle w:val="StrongEmphasis"/>
              </w:rPr>
              <w:t>17,475,441</w:t>
            </w:r>
          </w:p>
        </w:tc>
        <w:tc>
          <w:tcPr>
            <w:tcW w:w="193"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rStyle w:val="StrongEmphasis"/>
              </w:rPr>
              <w:t>37,277,112</w:t>
            </w:r>
          </w:p>
        </w:tc>
        <w:tc>
          <w:tcPr>
            <w:tcW w:w="193" w:type="dxa"/>
            <w:tcBorders/>
            <w:vAlign w:val="center"/>
          </w:tcPr>
          <w:p>
            <w:pPr>
              <w:pStyle w:val="TableContents"/>
              <w:bidi w:val="0"/>
              <w:spacing w:before="0" w:after="283"/>
              <w:jc w:val="left"/>
              <w:rPr/>
            </w:pPr>
            <w:r>
              <w:rPr/>
              <w:t> </w:t>
            </w:r>
          </w:p>
        </w:tc>
        <w:tc>
          <w:tcPr>
            <w:tcW w:w="1237" w:type="dxa"/>
            <w:tcBorders/>
            <w:vAlign w:val="center"/>
          </w:tcPr>
          <w:p>
            <w:pPr>
              <w:pStyle w:val="TableContents"/>
              <w:bidi w:val="0"/>
              <w:spacing w:before="0" w:after="283"/>
              <w:jc w:val="right"/>
              <w:rPr/>
            </w:pPr>
            <w:r>
              <w:rPr>
                <w:rStyle w:val="StrongEmphasis"/>
              </w:rPr>
              <w:t>29,894,215</w:t>
            </w:r>
          </w:p>
        </w:tc>
        <w:tc>
          <w:tcPr>
            <w:tcW w:w="1315" w:type="dxa"/>
            <w:tcBorders/>
            <w:vAlign w:val="center"/>
          </w:tcPr>
          <w:p>
            <w:pPr>
              <w:pStyle w:val="TableContents"/>
              <w:bidi w:val="0"/>
              <w:spacing w:before="0" w:after="283"/>
              <w:jc w:val="right"/>
              <w:rPr/>
            </w:pPr>
            <w:r>
              <w:rPr>
                <w:rStyle w:val="StrongEmphasis"/>
              </w:rPr>
              <w:t>51,369,601</w:t>
            </w:r>
          </w:p>
        </w:tc>
        <w:tc>
          <w:tcPr>
            <w:tcW w:w="238" w:type="dxa"/>
            <w:tcBorders/>
            <w:vAlign w:val="center"/>
          </w:tcPr>
          <w:p>
            <w:pPr>
              <w:pStyle w:val="TableContents"/>
              <w:bidi w:val="0"/>
              <w:spacing w:before="0" w:after="283"/>
              <w:jc w:val="left"/>
              <w:rPr/>
            </w:pPr>
            <w:r>
              <w:rPr/>
              <w:t> </w:t>
            </w:r>
          </w:p>
        </w:tc>
      </w:tr>
      <w:tr>
        <w:trPr/>
        <w:tc>
          <w:tcPr>
            <w:tcW w:w="4420" w:type="dxa"/>
            <w:tcBorders/>
            <w:vAlign w:val="center"/>
          </w:tcPr>
          <w:p>
            <w:pPr>
              <w:pStyle w:val="TableContents"/>
              <w:bidi w:val="0"/>
              <w:spacing w:before="0" w:after="283"/>
              <w:jc w:val="left"/>
              <w:rPr/>
            </w:pPr>
            <w:r>
              <w:rPr>
                <w:rStyle w:val="StrongEmphasis"/>
              </w:rPr>
              <w:t>Operating (loss)/income</w:t>
            </w:r>
          </w:p>
        </w:tc>
        <w:tc>
          <w:tcPr>
            <w:tcW w:w="1264" w:type="dxa"/>
            <w:tcBorders/>
            <w:vAlign w:val="center"/>
          </w:tcPr>
          <w:p>
            <w:pPr>
              <w:pStyle w:val="TableContents"/>
              <w:bidi w:val="0"/>
              <w:spacing w:before="0" w:after="283"/>
              <w:jc w:val="right"/>
              <w:rPr/>
            </w:pPr>
            <w:r>
              <w:rPr>
                <w:rStyle w:val="StrongEmphasis"/>
              </w:rPr>
              <w:t>(465,686</w:t>
            </w:r>
          </w:p>
        </w:tc>
        <w:tc>
          <w:tcPr>
            <w:tcW w:w="193" w:type="dxa"/>
            <w:tcBorders/>
            <w:vAlign w:val="center"/>
          </w:tcPr>
          <w:p>
            <w:pPr>
              <w:pStyle w:val="TableContents"/>
              <w:bidi w:val="0"/>
              <w:spacing w:before="0" w:after="283"/>
              <w:jc w:val="left"/>
              <w:rPr/>
            </w:pPr>
            <w:r>
              <w:rPr>
                <w:rStyle w:val="StrongEmphasis"/>
              </w:rPr>
              <w:t>)</w:t>
            </w:r>
          </w:p>
        </w:tc>
        <w:tc>
          <w:tcPr>
            <w:tcW w:w="1345" w:type="dxa"/>
            <w:tcBorders/>
            <w:vAlign w:val="center"/>
          </w:tcPr>
          <w:p>
            <w:pPr>
              <w:pStyle w:val="TableContents"/>
              <w:bidi w:val="0"/>
              <w:spacing w:before="0" w:after="283"/>
              <w:jc w:val="right"/>
              <w:rPr/>
            </w:pPr>
            <w:r>
              <w:rPr>
                <w:rStyle w:val="StrongEmphasis"/>
              </w:rPr>
              <w:t>(25,070,901</w:t>
            </w:r>
          </w:p>
        </w:tc>
        <w:tc>
          <w:tcPr>
            <w:tcW w:w="193" w:type="dxa"/>
            <w:tcBorders/>
            <w:vAlign w:val="center"/>
          </w:tcPr>
          <w:p>
            <w:pPr>
              <w:pStyle w:val="TableContents"/>
              <w:bidi w:val="0"/>
              <w:spacing w:before="0" w:after="283"/>
              <w:jc w:val="left"/>
              <w:rPr/>
            </w:pPr>
            <w:r>
              <w:rPr>
                <w:rStyle w:val="StrongEmphasis"/>
              </w:rPr>
              <w:t>)</w:t>
            </w:r>
          </w:p>
        </w:tc>
        <w:tc>
          <w:tcPr>
            <w:tcW w:w="1237" w:type="dxa"/>
            <w:tcBorders/>
            <w:vAlign w:val="center"/>
          </w:tcPr>
          <w:p>
            <w:pPr>
              <w:pStyle w:val="TableContents"/>
              <w:bidi w:val="0"/>
              <w:spacing w:before="0" w:after="283"/>
              <w:jc w:val="right"/>
              <w:rPr/>
            </w:pPr>
            <w:r>
              <w:rPr>
                <w:rStyle w:val="StrongEmphasis"/>
              </w:rPr>
              <w:t>712,027</w:t>
            </w:r>
          </w:p>
        </w:tc>
        <w:tc>
          <w:tcPr>
            <w:tcW w:w="1315" w:type="dxa"/>
            <w:tcBorders/>
            <w:vAlign w:val="center"/>
          </w:tcPr>
          <w:p>
            <w:pPr>
              <w:pStyle w:val="TableContents"/>
              <w:bidi w:val="0"/>
              <w:spacing w:before="0" w:after="283"/>
              <w:jc w:val="right"/>
              <w:rPr/>
            </w:pPr>
            <w:r>
              <w:rPr>
                <w:rStyle w:val="StrongEmphasis"/>
              </w:rPr>
              <w:t>(18,439,706</w:t>
            </w:r>
          </w:p>
        </w:tc>
        <w:tc>
          <w:tcPr>
            <w:tcW w:w="238" w:type="dxa"/>
            <w:tcBorders/>
            <w:vAlign w:val="center"/>
          </w:tcPr>
          <w:p>
            <w:pPr>
              <w:pStyle w:val="TableContents"/>
              <w:bidi w:val="0"/>
              <w:spacing w:before="0" w:after="283"/>
              <w:jc w:val="left"/>
              <w:rPr/>
            </w:pPr>
            <w:r>
              <w:rPr>
                <w:rStyle w:val="StrongEmphasis"/>
              </w:rPr>
              <w:t>)</w:t>
            </w:r>
          </w:p>
        </w:tc>
      </w:tr>
      <w:tr>
        <w:trPr/>
        <w:tc>
          <w:tcPr>
            <w:tcW w:w="4420" w:type="dxa"/>
            <w:tcBorders/>
            <w:tcMar>
              <w:top w:w="0" w:type="dxa"/>
              <w:left w:w="0" w:type="dxa"/>
              <w:bottom w:w="0" w:type="dxa"/>
              <w:right w:w="0" w:type="dxa"/>
            </w:tcMar>
            <w:vAlign w:val="center"/>
          </w:tcPr>
          <w:p>
            <w:pPr>
              <w:pStyle w:val="TableContents"/>
              <w:bidi w:val="0"/>
              <w:spacing w:before="0" w:after="283"/>
              <w:jc w:val="left"/>
              <w:rPr/>
            </w:pPr>
            <w:r>
              <w:rPr/>
              <w:t>Non-operating income/(loss)</w:t>
            </w:r>
            <w:r>
              <w:rPr>
                <w:position w:val="8"/>
                <w:sz w:val="19"/>
              </w:rPr>
              <w:t>(ii)</w:t>
            </w:r>
          </w:p>
        </w:tc>
        <w:tc>
          <w:tcPr>
            <w:tcW w:w="1264" w:type="dxa"/>
            <w:tcBorders/>
            <w:vAlign w:val="center"/>
          </w:tcPr>
          <w:p>
            <w:pPr>
              <w:pStyle w:val="TableContents"/>
              <w:bidi w:val="0"/>
              <w:spacing w:before="0" w:after="283"/>
              <w:jc w:val="right"/>
              <w:rPr/>
            </w:pPr>
            <w:r>
              <w:rPr/>
              <w:t>1,401,587</w:t>
            </w:r>
          </w:p>
        </w:tc>
        <w:tc>
          <w:tcPr>
            <w:tcW w:w="193"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(4,531,283</w:t>
            </w:r>
          </w:p>
        </w:tc>
        <w:tc>
          <w:tcPr>
            <w:tcW w:w="193" w:type="dxa"/>
            <w:tcBorders/>
            <w:vAlign w:val="center"/>
          </w:tcPr>
          <w:p>
            <w:pPr>
              <w:pStyle w:val="TableContents"/>
              <w:bidi w:val="0"/>
              <w:spacing w:before="0" w:after="283"/>
              <w:jc w:val="left"/>
              <w:rPr/>
            </w:pPr>
            <w:r>
              <w:rPr/>
              <w:t>)</w:t>
            </w:r>
          </w:p>
        </w:tc>
        <w:tc>
          <w:tcPr>
            <w:tcW w:w="1237" w:type="dxa"/>
            <w:tcBorders/>
            <w:vAlign w:val="center"/>
          </w:tcPr>
          <w:p>
            <w:pPr>
              <w:pStyle w:val="TableContents"/>
              <w:bidi w:val="0"/>
              <w:spacing w:before="0" w:after="283"/>
              <w:jc w:val="right"/>
              <w:rPr/>
            </w:pPr>
            <w:r>
              <w:rPr/>
              <w:t>2,107,875</w:t>
            </w:r>
          </w:p>
        </w:tc>
        <w:tc>
          <w:tcPr>
            <w:tcW w:w="1315" w:type="dxa"/>
            <w:tcBorders/>
            <w:vAlign w:val="center"/>
          </w:tcPr>
          <w:p>
            <w:pPr>
              <w:pStyle w:val="TableContents"/>
              <w:bidi w:val="0"/>
              <w:spacing w:before="0" w:after="283"/>
              <w:jc w:val="right"/>
              <w:rPr/>
            </w:pPr>
            <w:r>
              <w:rPr/>
              <w:t>(3,269,016</w:t>
            </w:r>
          </w:p>
        </w:tc>
        <w:tc>
          <w:tcPr>
            <w:tcW w:w="238" w:type="dxa"/>
            <w:tcBorders/>
            <w:vAlign w:val="center"/>
          </w:tcPr>
          <w:p>
            <w:pPr>
              <w:pStyle w:val="TableContents"/>
              <w:bidi w:val="0"/>
              <w:spacing w:before="0" w:after="283"/>
              <w:jc w:val="left"/>
              <w:rPr/>
            </w:pPr>
            <w:r>
              <w:rPr/>
              <w:t>)</w:t>
            </w:r>
          </w:p>
        </w:tc>
      </w:tr>
      <w:tr>
        <w:trPr/>
        <w:tc>
          <w:tcPr>
            <w:tcW w:w="4420" w:type="dxa"/>
            <w:tcBorders/>
            <w:vAlign w:val="center"/>
          </w:tcPr>
          <w:p>
            <w:pPr>
              <w:pStyle w:val="TableContents"/>
              <w:bidi w:val="0"/>
              <w:spacing w:before="0" w:after="283"/>
              <w:jc w:val="left"/>
              <w:rPr/>
            </w:pPr>
            <w:r>
              <w:rPr>
                <w:rStyle w:val="StrongEmphasis"/>
              </w:rPr>
              <w:t>Income/(loss) before income tax</w:t>
            </w:r>
          </w:p>
        </w:tc>
        <w:tc>
          <w:tcPr>
            <w:tcW w:w="1264" w:type="dxa"/>
            <w:tcBorders/>
            <w:vAlign w:val="center"/>
          </w:tcPr>
          <w:p>
            <w:pPr>
              <w:pStyle w:val="TableContents"/>
              <w:bidi w:val="0"/>
              <w:spacing w:before="0" w:after="283"/>
              <w:jc w:val="right"/>
              <w:rPr/>
            </w:pPr>
            <w:r>
              <w:rPr>
                <w:rStyle w:val="StrongEmphasis"/>
              </w:rPr>
              <w:t>935,901</w:t>
            </w:r>
          </w:p>
        </w:tc>
        <w:tc>
          <w:tcPr>
            <w:tcW w:w="193"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rStyle w:val="StrongEmphasis"/>
              </w:rPr>
              <w:t>(29,602,184</w:t>
            </w:r>
          </w:p>
        </w:tc>
        <w:tc>
          <w:tcPr>
            <w:tcW w:w="193" w:type="dxa"/>
            <w:tcBorders/>
            <w:vAlign w:val="center"/>
          </w:tcPr>
          <w:p>
            <w:pPr>
              <w:pStyle w:val="TableContents"/>
              <w:bidi w:val="0"/>
              <w:spacing w:before="0" w:after="283"/>
              <w:jc w:val="left"/>
              <w:rPr/>
            </w:pPr>
            <w:r>
              <w:rPr>
                <w:rStyle w:val="StrongEmphasis"/>
              </w:rPr>
              <w:t>)</w:t>
            </w:r>
          </w:p>
        </w:tc>
        <w:tc>
          <w:tcPr>
            <w:tcW w:w="1237" w:type="dxa"/>
            <w:tcBorders/>
            <w:vAlign w:val="center"/>
          </w:tcPr>
          <w:p>
            <w:pPr>
              <w:pStyle w:val="TableContents"/>
              <w:bidi w:val="0"/>
              <w:spacing w:before="0" w:after="283"/>
              <w:jc w:val="right"/>
              <w:rPr/>
            </w:pPr>
            <w:r>
              <w:rPr>
                <w:rStyle w:val="StrongEmphasis"/>
              </w:rPr>
              <w:t>2,819,902</w:t>
            </w:r>
          </w:p>
        </w:tc>
        <w:tc>
          <w:tcPr>
            <w:tcW w:w="1315" w:type="dxa"/>
            <w:tcBorders/>
            <w:vAlign w:val="center"/>
          </w:tcPr>
          <w:p>
            <w:pPr>
              <w:pStyle w:val="TableContents"/>
              <w:bidi w:val="0"/>
              <w:spacing w:before="0" w:after="283"/>
              <w:jc w:val="right"/>
              <w:rPr/>
            </w:pPr>
            <w:r>
              <w:rPr>
                <w:rStyle w:val="StrongEmphasis"/>
              </w:rPr>
              <w:t>(21,708,722</w:t>
            </w:r>
          </w:p>
        </w:tc>
        <w:tc>
          <w:tcPr>
            <w:tcW w:w="238" w:type="dxa"/>
            <w:tcBorders/>
            <w:vAlign w:val="center"/>
          </w:tcPr>
          <w:p>
            <w:pPr>
              <w:pStyle w:val="TableContents"/>
              <w:bidi w:val="0"/>
              <w:spacing w:before="0" w:after="283"/>
              <w:jc w:val="left"/>
              <w:rPr/>
            </w:pPr>
            <w:r>
              <w:rPr>
                <w:rStyle w:val="StrongEmphasis"/>
              </w:rPr>
              <w:t>)</w:t>
            </w:r>
          </w:p>
        </w:tc>
      </w:tr>
      <w:tr>
        <w:trPr/>
        <w:tc>
          <w:tcPr>
            <w:tcW w:w="4420" w:type="dxa"/>
            <w:tcBorders/>
            <w:tcMar>
              <w:top w:w="0" w:type="dxa"/>
              <w:left w:w="0" w:type="dxa"/>
              <w:bottom w:w="0" w:type="dxa"/>
              <w:right w:w="0" w:type="dxa"/>
            </w:tcMar>
            <w:vAlign w:val="center"/>
          </w:tcPr>
          <w:p>
            <w:pPr>
              <w:pStyle w:val="TableContents"/>
              <w:bidi w:val="0"/>
              <w:spacing w:before="0" w:after="283"/>
              <w:jc w:val="left"/>
              <w:rPr/>
            </w:pPr>
            <w:r>
              <w:rPr/>
              <w:t>Income tax expense/(benefit)</w:t>
            </w:r>
          </w:p>
        </w:tc>
        <w:tc>
          <w:tcPr>
            <w:tcW w:w="1264" w:type="dxa"/>
            <w:tcBorders/>
            <w:vAlign w:val="center"/>
          </w:tcPr>
          <w:p>
            <w:pPr>
              <w:pStyle w:val="TableContents"/>
              <w:bidi w:val="0"/>
              <w:spacing w:before="0" w:after="283"/>
              <w:jc w:val="right"/>
              <w:rPr/>
            </w:pPr>
            <w:r>
              <w:rPr/>
              <w:t>261,350</w:t>
            </w:r>
          </w:p>
        </w:tc>
        <w:tc>
          <w:tcPr>
            <w:tcW w:w="193"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45,557</w:t>
            </w:r>
          </w:p>
        </w:tc>
        <w:tc>
          <w:tcPr>
            <w:tcW w:w="193" w:type="dxa"/>
            <w:tcBorders/>
            <w:vAlign w:val="center"/>
          </w:tcPr>
          <w:p>
            <w:pPr>
              <w:pStyle w:val="TableContents"/>
              <w:bidi w:val="0"/>
              <w:spacing w:before="0" w:after="283"/>
              <w:jc w:val="left"/>
              <w:rPr/>
            </w:pPr>
            <w:r>
              <w:rPr/>
              <w:t> </w:t>
            </w:r>
          </w:p>
        </w:tc>
        <w:tc>
          <w:tcPr>
            <w:tcW w:w="1237" w:type="dxa"/>
            <w:tcBorders/>
            <w:vAlign w:val="center"/>
          </w:tcPr>
          <w:p>
            <w:pPr>
              <w:pStyle w:val="TableContents"/>
              <w:bidi w:val="0"/>
              <w:spacing w:before="0" w:after="283"/>
              <w:jc w:val="right"/>
              <w:rPr/>
            </w:pPr>
            <w:r>
              <w:rPr/>
              <w:t>689,498</w:t>
            </w:r>
          </w:p>
        </w:tc>
        <w:tc>
          <w:tcPr>
            <w:tcW w:w="1315" w:type="dxa"/>
            <w:tcBorders/>
            <w:vAlign w:val="center"/>
          </w:tcPr>
          <w:p>
            <w:pPr>
              <w:pStyle w:val="TableContents"/>
              <w:bidi w:val="0"/>
              <w:spacing w:before="0" w:after="283"/>
              <w:jc w:val="right"/>
              <w:rPr/>
            </w:pPr>
            <w:r>
              <w:rPr/>
              <w:t>(172,775</w:t>
            </w:r>
          </w:p>
        </w:tc>
        <w:tc>
          <w:tcPr>
            <w:tcW w:w="238" w:type="dxa"/>
            <w:tcBorders/>
            <w:vAlign w:val="center"/>
          </w:tcPr>
          <w:p>
            <w:pPr>
              <w:pStyle w:val="TableContents"/>
              <w:bidi w:val="0"/>
              <w:spacing w:before="0" w:after="283"/>
              <w:jc w:val="left"/>
              <w:rPr/>
            </w:pPr>
            <w:r>
              <w:rPr/>
              <w:t>)</w:t>
            </w:r>
          </w:p>
        </w:tc>
      </w:tr>
      <w:tr>
        <w:trPr/>
        <w:tc>
          <w:tcPr>
            <w:tcW w:w="4420" w:type="dxa"/>
            <w:tcBorders/>
            <w:vAlign w:val="center"/>
          </w:tcPr>
          <w:p>
            <w:pPr>
              <w:pStyle w:val="TableContents"/>
              <w:bidi w:val="0"/>
              <w:spacing w:before="0" w:after="283"/>
              <w:jc w:val="left"/>
              <w:rPr/>
            </w:pPr>
            <w:r>
              <w:rPr>
                <w:rStyle w:val="StrongEmphasis"/>
              </w:rPr>
              <w:t>Net income/(loss)</w:t>
            </w:r>
          </w:p>
        </w:tc>
        <w:tc>
          <w:tcPr>
            <w:tcW w:w="1264" w:type="dxa"/>
            <w:tcBorders/>
            <w:vAlign w:val="center"/>
          </w:tcPr>
          <w:p>
            <w:pPr>
              <w:pStyle w:val="TableContents"/>
              <w:bidi w:val="0"/>
              <w:spacing w:before="0" w:after="283"/>
              <w:jc w:val="right"/>
              <w:rPr/>
            </w:pPr>
            <w:r>
              <w:rPr>
                <w:rStyle w:val="StrongEmphasis"/>
              </w:rPr>
              <w:t>674,551</w:t>
            </w:r>
          </w:p>
        </w:tc>
        <w:tc>
          <w:tcPr>
            <w:tcW w:w="193"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rStyle w:val="StrongEmphasis"/>
              </w:rPr>
              <w:t>(29,647,741</w:t>
            </w:r>
          </w:p>
        </w:tc>
        <w:tc>
          <w:tcPr>
            <w:tcW w:w="193" w:type="dxa"/>
            <w:tcBorders/>
            <w:vAlign w:val="center"/>
          </w:tcPr>
          <w:p>
            <w:pPr>
              <w:pStyle w:val="TableContents"/>
              <w:bidi w:val="0"/>
              <w:spacing w:before="0" w:after="283"/>
              <w:jc w:val="left"/>
              <w:rPr/>
            </w:pPr>
            <w:r>
              <w:rPr>
                <w:rStyle w:val="StrongEmphasis"/>
              </w:rPr>
              <w:t>)</w:t>
            </w:r>
          </w:p>
        </w:tc>
        <w:tc>
          <w:tcPr>
            <w:tcW w:w="1237" w:type="dxa"/>
            <w:tcBorders/>
            <w:vAlign w:val="center"/>
          </w:tcPr>
          <w:p>
            <w:pPr>
              <w:pStyle w:val="TableContents"/>
              <w:bidi w:val="0"/>
              <w:spacing w:before="0" w:after="283"/>
              <w:jc w:val="right"/>
              <w:rPr/>
            </w:pPr>
            <w:r>
              <w:rPr>
                <w:rStyle w:val="StrongEmphasis"/>
              </w:rPr>
              <w:t>2,130,404</w:t>
            </w:r>
          </w:p>
        </w:tc>
        <w:tc>
          <w:tcPr>
            <w:tcW w:w="1315" w:type="dxa"/>
            <w:tcBorders/>
            <w:vAlign w:val="center"/>
          </w:tcPr>
          <w:p>
            <w:pPr>
              <w:pStyle w:val="TableContents"/>
              <w:bidi w:val="0"/>
              <w:spacing w:before="0" w:after="283"/>
              <w:jc w:val="right"/>
              <w:rPr/>
            </w:pPr>
            <w:r>
              <w:rPr>
                <w:rStyle w:val="StrongEmphasis"/>
              </w:rPr>
              <w:t>(21,535,947</w:t>
            </w:r>
          </w:p>
        </w:tc>
        <w:tc>
          <w:tcPr>
            <w:tcW w:w="238" w:type="dxa"/>
            <w:tcBorders/>
            <w:vAlign w:val="center"/>
          </w:tcPr>
          <w:p>
            <w:pPr>
              <w:pStyle w:val="TableContents"/>
              <w:bidi w:val="0"/>
              <w:spacing w:before="0" w:after="283"/>
              <w:jc w:val="left"/>
              <w:rPr/>
            </w:pPr>
            <w:r>
              <w:rPr>
                <w:rStyle w:val="StrongEmphasis"/>
              </w:rPr>
              <w:t>)</w:t>
            </w:r>
          </w:p>
        </w:tc>
      </w:tr>
      <w:tr>
        <w:trPr/>
        <w:tc>
          <w:tcPr>
            <w:tcW w:w="4420" w:type="dxa"/>
            <w:tcBorders/>
            <w:tcMar>
              <w:top w:w="0" w:type="dxa"/>
              <w:left w:w="0" w:type="dxa"/>
              <w:bottom w:w="0" w:type="dxa"/>
              <w:right w:w="0" w:type="dxa"/>
            </w:tcMar>
            <w:vAlign w:val="center"/>
          </w:tcPr>
          <w:p>
            <w:pPr>
              <w:pStyle w:val="TableContents"/>
              <w:bidi w:val="0"/>
              <w:spacing w:before="0" w:after="283"/>
              <w:jc w:val="left"/>
              <w:rPr/>
            </w:pPr>
            <w:r>
              <w:rPr/>
              <w:t>Net (loss) attributable to non-controlling interests</w:t>
            </w:r>
          </w:p>
        </w:tc>
        <w:tc>
          <w:tcPr>
            <w:tcW w:w="1264" w:type="dxa"/>
            <w:tcBorders/>
            <w:vAlign w:val="center"/>
          </w:tcPr>
          <w:p>
            <w:pPr>
              <w:pStyle w:val="TableContents"/>
              <w:bidi w:val="0"/>
              <w:spacing w:before="0" w:after="283"/>
              <w:jc w:val="right"/>
              <w:rPr/>
            </w:pPr>
            <w:r>
              <w:rPr/>
              <w:t>—</w:t>
            </w:r>
          </w:p>
        </w:tc>
        <w:tc>
          <w:tcPr>
            <w:tcW w:w="193"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(17,106,069</w:t>
            </w:r>
          </w:p>
        </w:tc>
        <w:tc>
          <w:tcPr>
            <w:tcW w:w="193" w:type="dxa"/>
            <w:tcBorders/>
            <w:vAlign w:val="center"/>
          </w:tcPr>
          <w:p>
            <w:pPr>
              <w:pStyle w:val="TableContents"/>
              <w:bidi w:val="0"/>
              <w:spacing w:before="0" w:after="283"/>
              <w:jc w:val="left"/>
              <w:rPr/>
            </w:pPr>
            <w:r>
              <w:rPr/>
              <w:t>)</w:t>
            </w:r>
          </w:p>
        </w:tc>
        <w:tc>
          <w:tcPr>
            <w:tcW w:w="1237" w:type="dxa"/>
            <w:tcBorders/>
            <w:vAlign w:val="center"/>
          </w:tcPr>
          <w:p>
            <w:pPr>
              <w:pStyle w:val="TableContents"/>
              <w:bidi w:val="0"/>
              <w:spacing w:before="0" w:after="283"/>
              <w:jc w:val="right"/>
              <w:rPr/>
            </w:pPr>
            <w:r>
              <w:rPr/>
              <w:t>—</w:t>
            </w:r>
          </w:p>
        </w:tc>
        <w:tc>
          <w:tcPr>
            <w:tcW w:w="1315" w:type="dxa"/>
            <w:tcBorders/>
            <w:vAlign w:val="center"/>
          </w:tcPr>
          <w:p>
            <w:pPr>
              <w:pStyle w:val="TableContents"/>
              <w:bidi w:val="0"/>
              <w:spacing w:before="0" w:after="283"/>
              <w:jc w:val="right"/>
              <w:rPr/>
            </w:pPr>
            <w:r>
              <w:rPr/>
              <w:t>(11,684,450</w:t>
            </w:r>
          </w:p>
        </w:tc>
        <w:tc>
          <w:tcPr>
            <w:tcW w:w="238" w:type="dxa"/>
            <w:tcBorders/>
            <w:vAlign w:val="center"/>
          </w:tcPr>
          <w:p>
            <w:pPr>
              <w:pStyle w:val="TableContents"/>
              <w:bidi w:val="0"/>
              <w:spacing w:before="0" w:after="283"/>
              <w:jc w:val="left"/>
              <w:rPr/>
            </w:pPr>
            <w:r>
              <w:rPr/>
              <w:t>)</w:t>
            </w:r>
          </w:p>
        </w:tc>
      </w:tr>
      <w:tr>
        <w:trPr/>
        <w:tc>
          <w:tcPr>
            <w:tcW w:w="4420" w:type="dxa"/>
            <w:tcBorders/>
            <w:vAlign w:val="center"/>
          </w:tcPr>
          <w:p>
            <w:pPr>
              <w:pStyle w:val="TableContents"/>
              <w:bidi w:val="0"/>
              <w:spacing w:before="0" w:after="283"/>
              <w:jc w:val="left"/>
              <w:rPr/>
            </w:pPr>
            <w:r>
              <w:rPr>
                <w:rStyle w:val="StrongEmphasis"/>
              </w:rPr>
              <w:t>Net income/(loss) attributable to Antalpha</w:t>
            </w:r>
          </w:p>
        </w:tc>
        <w:tc>
          <w:tcPr>
            <w:tcW w:w="1264" w:type="dxa"/>
            <w:tcBorders/>
            <w:vAlign w:val="center"/>
          </w:tcPr>
          <w:p>
            <w:pPr>
              <w:pStyle w:val="TableContents"/>
              <w:bidi w:val="0"/>
              <w:spacing w:before="0" w:after="283"/>
              <w:jc w:val="right"/>
              <w:rPr/>
            </w:pPr>
            <w:r>
              <w:rPr>
                <w:rStyle w:val="StrongEmphasis"/>
              </w:rPr>
              <w:t>674,551</w:t>
            </w:r>
          </w:p>
        </w:tc>
        <w:tc>
          <w:tcPr>
            <w:tcW w:w="193"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rStyle w:val="StrongEmphasis"/>
              </w:rPr>
              <w:t>(12,541,672</w:t>
            </w:r>
          </w:p>
        </w:tc>
        <w:tc>
          <w:tcPr>
            <w:tcW w:w="193" w:type="dxa"/>
            <w:tcBorders/>
            <w:vAlign w:val="center"/>
          </w:tcPr>
          <w:p>
            <w:pPr>
              <w:pStyle w:val="TableContents"/>
              <w:bidi w:val="0"/>
              <w:spacing w:before="0" w:after="283"/>
              <w:jc w:val="left"/>
              <w:rPr/>
            </w:pPr>
            <w:r>
              <w:rPr>
                <w:rStyle w:val="StrongEmphasis"/>
              </w:rPr>
              <w:t>)</w:t>
            </w:r>
          </w:p>
        </w:tc>
        <w:tc>
          <w:tcPr>
            <w:tcW w:w="1237" w:type="dxa"/>
            <w:tcBorders/>
            <w:vAlign w:val="center"/>
          </w:tcPr>
          <w:p>
            <w:pPr>
              <w:pStyle w:val="TableContents"/>
              <w:bidi w:val="0"/>
              <w:spacing w:before="0" w:after="283"/>
              <w:jc w:val="right"/>
              <w:rPr/>
            </w:pPr>
            <w:r>
              <w:rPr>
                <w:rStyle w:val="StrongEmphasis"/>
              </w:rPr>
              <w:t>2,130,404</w:t>
            </w:r>
          </w:p>
        </w:tc>
        <w:tc>
          <w:tcPr>
            <w:tcW w:w="1315" w:type="dxa"/>
            <w:tcBorders/>
            <w:vAlign w:val="center"/>
          </w:tcPr>
          <w:p>
            <w:pPr>
              <w:pStyle w:val="TableContents"/>
              <w:bidi w:val="0"/>
              <w:spacing w:before="0" w:after="283"/>
              <w:jc w:val="right"/>
              <w:rPr/>
            </w:pPr>
            <w:r>
              <w:rPr>
                <w:rStyle w:val="StrongEmphasis"/>
              </w:rPr>
              <w:t>(9,851,497</w:t>
            </w:r>
          </w:p>
        </w:tc>
        <w:tc>
          <w:tcPr>
            <w:tcW w:w="238" w:type="dxa"/>
            <w:tcBorders/>
            <w:vAlign w:val="center"/>
          </w:tcPr>
          <w:p>
            <w:pPr>
              <w:pStyle w:val="TableContents"/>
              <w:bidi w:val="0"/>
              <w:spacing w:before="0" w:after="283"/>
              <w:jc w:val="left"/>
              <w:rPr/>
            </w:pPr>
            <w:r>
              <w:rPr>
                <w:rStyle w:val="StrongEmphasis"/>
              </w:rPr>
              <w:t>)</w:t>
            </w:r>
          </w:p>
        </w:tc>
      </w:tr>
      <w:tr>
        <w:trPr/>
        <w:tc>
          <w:tcPr>
            <w:tcW w:w="4420" w:type="dxa"/>
            <w:tcBorders/>
            <w:tcMar>
              <w:top w:w="0" w:type="dxa"/>
              <w:left w:w="0" w:type="dxa"/>
              <w:bottom w:w="0" w:type="dxa"/>
              <w:right w:w="0" w:type="dxa"/>
            </w:tcMar>
            <w:vAlign w:val="center"/>
          </w:tcPr>
          <w:p>
            <w:pPr>
              <w:pStyle w:val="TableContents"/>
              <w:bidi w:val="0"/>
              <w:spacing w:before="0" w:after="283"/>
              <w:jc w:val="left"/>
              <w:rPr/>
            </w:pPr>
            <w:r>
              <w:rPr/>
              <w:t>Foreign currency translation adjustment</w:t>
            </w:r>
          </w:p>
        </w:tc>
        <w:tc>
          <w:tcPr>
            <w:tcW w:w="1264" w:type="dxa"/>
            <w:tcBorders/>
            <w:vAlign w:val="center"/>
          </w:tcPr>
          <w:p>
            <w:pPr>
              <w:pStyle w:val="TableContents"/>
              <w:bidi w:val="0"/>
              <w:spacing w:before="0" w:after="283"/>
              <w:jc w:val="right"/>
              <w:rPr/>
            </w:pPr>
            <w:r>
              <w:rPr/>
              <w:t>—</w:t>
            </w:r>
          </w:p>
        </w:tc>
        <w:tc>
          <w:tcPr>
            <w:tcW w:w="193"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77,148</w:t>
            </w:r>
          </w:p>
        </w:tc>
        <w:tc>
          <w:tcPr>
            <w:tcW w:w="193" w:type="dxa"/>
            <w:tcBorders/>
            <w:vAlign w:val="center"/>
          </w:tcPr>
          <w:p>
            <w:pPr>
              <w:pStyle w:val="TableContents"/>
              <w:bidi w:val="0"/>
              <w:spacing w:before="0" w:after="283"/>
              <w:jc w:val="left"/>
              <w:rPr/>
            </w:pPr>
            <w:r>
              <w:rPr/>
              <w:t> </w:t>
            </w:r>
          </w:p>
        </w:tc>
        <w:tc>
          <w:tcPr>
            <w:tcW w:w="1237" w:type="dxa"/>
            <w:tcBorders/>
            <w:vAlign w:val="center"/>
          </w:tcPr>
          <w:p>
            <w:pPr>
              <w:pStyle w:val="TableContents"/>
              <w:bidi w:val="0"/>
              <w:spacing w:before="0" w:after="283"/>
              <w:jc w:val="right"/>
              <w:rPr/>
            </w:pPr>
            <w:r>
              <w:rPr/>
              <w:t>—</w:t>
            </w:r>
          </w:p>
        </w:tc>
        <w:tc>
          <w:tcPr>
            <w:tcW w:w="1315" w:type="dxa"/>
            <w:tcBorders/>
            <w:vAlign w:val="center"/>
          </w:tcPr>
          <w:p>
            <w:pPr>
              <w:pStyle w:val="TableContents"/>
              <w:bidi w:val="0"/>
              <w:spacing w:before="0" w:after="283"/>
              <w:jc w:val="right"/>
              <w:rPr/>
            </w:pPr>
            <w:r>
              <w:rPr/>
              <w:t>477,359</w:t>
            </w:r>
          </w:p>
        </w:tc>
        <w:tc>
          <w:tcPr>
            <w:tcW w:w="238" w:type="dxa"/>
            <w:tcBorders/>
            <w:vAlign w:val="center"/>
          </w:tcPr>
          <w:p>
            <w:pPr>
              <w:pStyle w:val="TableContents"/>
              <w:bidi w:val="0"/>
              <w:spacing w:before="0" w:after="283"/>
              <w:jc w:val="left"/>
              <w:rPr/>
            </w:pPr>
            <w:r>
              <w:rPr/>
              <w:t> </w:t>
            </w:r>
          </w:p>
        </w:tc>
      </w:tr>
      <w:tr>
        <w:trPr/>
        <w:tc>
          <w:tcPr>
            <w:tcW w:w="4420" w:type="dxa"/>
            <w:tcBorders/>
            <w:vAlign w:val="center"/>
          </w:tcPr>
          <w:p>
            <w:pPr>
              <w:pStyle w:val="TableContents"/>
              <w:bidi w:val="0"/>
              <w:spacing w:before="0" w:after="283"/>
              <w:jc w:val="left"/>
              <w:rPr/>
            </w:pPr>
            <w:r>
              <w:rPr>
                <w:rStyle w:val="StrongEmphasis"/>
              </w:rPr>
              <w:t>Total Comprehensive income/(loss)</w:t>
            </w:r>
          </w:p>
        </w:tc>
        <w:tc>
          <w:tcPr>
            <w:tcW w:w="1264" w:type="dxa"/>
            <w:tcBorders/>
            <w:vAlign w:val="center"/>
          </w:tcPr>
          <w:p>
            <w:pPr>
              <w:pStyle w:val="TableContents"/>
              <w:bidi w:val="0"/>
              <w:spacing w:before="0" w:after="283"/>
              <w:jc w:val="right"/>
              <w:rPr/>
            </w:pPr>
            <w:r>
              <w:rPr>
                <w:rStyle w:val="StrongEmphasis"/>
              </w:rPr>
              <w:t>674,551</w:t>
            </w:r>
          </w:p>
        </w:tc>
        <w:tc>
          <w:tcPr>
            <w:tcW w:w="193"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rStyle w:val="StrongEmphasis"/>
              </w:rPr>
              <w:t>(29,570,593</w:t>
            </w:r>
          </w:p>
        </w:tc>
        <w:tc>
          <w:tcPr>
            <w:tcW w:w="193" w:type="dxa"/>
            <w:tcBorders/>
            <w:vAlign w:val="center"/>
          </w:tcPr>
          <w:p>
            <w:pPr>
              <w:pStyle w:val="TableContents"/>
              <w:bidi w:val="0"/>
              <w:spacing w:before="0" w:after="283"/>
              <w:jc w:val="left"/>
              <w:rPr/>
            </w:pPr>
            <w:r>
              <w:rPr>
                <w:rStyle w:val="StrongEmphasis"/>
              </w:rPr>
              <w:t>)</w:t>
            </w:r>
          </w:p>
        </w:tc>
        <w:tc>
          <w:tcPr>
            <w:tcW w:w="1237" w:type="dxa"/>
            <w:tcBorders/>
            <w:vAlign w:val="center"/>
          </w:tcPr>
          <w:p>
            <w:pPr>
              <w:pStyle w:val="TableContents"/>
              <w:bidi w:val="0"/>
              <w:spacing w:before="0" w:after="283"/>
              <w:jc w:val="right"/>
              <w:rPr/>
            </w:pPr>
            <w:r>
              <w:rPr>
                <w:rStyle w:val="StrongEmphasis"/>
              </w:rPr>
              <w:t>2,130,404</w:t>
            </w:r>
          </w:p>
        </w:tc>
        <w:tc>
          <w:tcPr>
            <w:tcW w:w="1315" w:type="dxa"/>
            <w:tcBorders/>
            <w:vAlign w:val="center"/>
          </w:tcPr>
          <w:p>
            <w:pPr>
              <w:pStyle w:val="TableContents"/>
              <w:bidi w:val="0"/>
              <w:spacing w:before="0" w:after="283"/>
              <w:jc w:val="right"/>
              <w:rPr/>
            </w:pPr>
            <w:r>
              <w:rPr>
                <w:rStyle w:val="StrongEmphasis"/>
              </w:rPr>
              <w:t>(21,058,588</w:t>
            </w:r>
          </w:p>
        </w:tc>
        <w:tc>
          <w:tcPr>
            <w:tcW w:w="238" w:type="dxa"/>
            <w:tcBorders/>
            <w:vAlign w:val="center"/>
          </w:tcPr>
          <w:p>
            <w:pPr>
              <w:pStyle w:val="TableContents"/>
              <w:bidi w:val="0"/>
              <w:spacing w:before="0" w:after="283"/>
              <w:jc w:val="left"/>
              <w:rPr/>
            </w:pPr>
            <w:r>
              <w:rPr>
                <w:rStyle w:val="StrongEmphasis"/>
              </w:rPr>
              <w:t>)</w:t>
            </w:r>
          </w:p>
        </w:tc>
      </w:tr>
      <w:tr>
        <w:trPr/>
        <w:tc>
          <w:tcPr>
            <w:tcW w:w="4420" w:type="dxa"/>
            <w:tcBorders/>
            <w:tcMar>
              <w:top w:w="0" w:type="dxa"/>
              <w:left w:w="0" w:type="dxa"/>
              <w:bottom w:w="0" w:type="dxa"/>
              <w:right w:w="0" w:type="dxa"/>
            </w:tcMar>
            <w:vAlign w:val="center"/>
          </w:tcPr>
          <w:p>
            <w:pPr>
              <w:pStyle w:val="TableContents"/>
              <w:bidi w:val="0"/>
              <w:spacing w:before="0" w:after="283"/>
              <w:jc w:val="left"/>
              <w:rPr/>
            </w:pPr>
            <w:r>
              <w:rPr/>
              <w:t>Total comprehensive loss attributable to non-controlling interests</w:t>
            </w:r>
          </w:p>
        </w:tc>
        <w:tc>
          <w:tcPr>
            <w:tcW w:w="1264" w:type="dxa"/>
            <w:tcBorders/>
            <w:vAlign w:val="center"/>
          </w:tcPr>
          <w:p>
            <w:pPr>
              <w:pStyle w:val="TableContents"/>
              <w:bidi w:val="0"/>
              <w:spacing w:before="0" w:after="283"/>
              <w:jc w:val="right"/>
              <w:rPr/>
            </w:pPr>
            <w:r>
              <w:rPr/>
              <w:t>—</w:t>
            </w:r>
          </w:p>
        </w:tc>
        <w:tc>
          <w:tcPr>
            <w:tcW w:w="193"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(17,053,416</w:t>
            </w:r>
          </w:p>
        </w:tc>
        <w:tc>
          <w:tcPr>
            <w:tcW w:w="193" w:type="dxa"/>
            <w:tcBorders/>
            <w:vAlign w:val="center"/>
          </w:tcPr>
          <w:p>
            <w:pPr>
              <w:pStyle w:val="TableContents"/>
              <w:bidi w:val="0"/>
              <w:spacing w:before="0" w:after="283"/>
              <w:jc w:val="left"/>
              <w:rPr/>
            </w:pPr>
            <w:r>
              <w:rPr/>
              <w:t>)</w:t>
            </w:r>
          </w:p>
        </w:tc>
        <w:tc>
          <w:tcPr>
            <w:tcW w:w="1237" w:type="dxa"/>
            <w:tcBorders/>
            <w:vAlign w:val="center"/>
          </w:tcPr>
          <w:p>
            <w:pPr>
              <w:pStyle w:val="TableContents"/>
              <w:bidi w:val="0"/>
              <w:spacing w:before="0" w:after="283"/>
              <w:jc w:val="right"/>
              <w:rPr/>
            </w:pPr>
            <w:r>
              <w:rPr/>
              <w:t>—</w:t>
            </w:r>
          </w:p>
        </w:tc>
        <w:tc>
          <w:tcPr>
            <w:tcW w:w="1315" w:type="dxa"/>
            <w:tcBorders/>
            <w:vAlign w:val="center"/>
          </w:tcPr>
          <w:p>
            <w:pPr>
              <w:pStyle w:val="TableContents"/>
              <w:bidi w:val="0"/>
              <w:spacing w:before="0" w:after="283"/>
              <w:jc w:val="right"/>
              <w:rPr/>
            </w:pPr>
            <w:r>
              <w:rPr/>
              <w:t>(11,358,653</w:t>
            </w:r>
          </w:p>
        </w:tc>
        <w:tc>
          <w:tcPr>
            <w:tcW w:w="238" w:type="dxa"/>
            <w:tcBorders/>
            <w:vAlign w:val="center"/>
          </w:tcPr>
          <w:p>
            <w:pPr>
              <w:pStyle w:val="TableContents"/>
              <w:bidi w:val="0"/>
              <w:spacing w:before="0" w:after="283"/>
              <w:jc w:val="left"/>
              <w:rPr/>
            </w:pPr>
            <w:r>
              <w:rPr/>
              <w:t>)</w:t>
            </w:r>
          </w:p>
        </w:tc>
      </w:tr>
      <w:tr>
        <w:trPr/>
        <w:tc>
          <w:tcPr>
            <w:tcW w:w="4420" w:type="dxa"/>
            <w:tcBorders/>
            <w:vAlign w:val="center"/>
          </w:tcPr>
          <w:p>
            <w:pPr>
              <w:pStyle w:val="TableContents"/>
              <w:bidi w:val="0"/>
              <w:spacing w:before="0" w:after="283"/>
              <w:jc w:val="left"/>
              <w:rPr/>
            </w:pPr>
            <w:r>
              <w:rPr>
                <w:rStyle w:val="StrongEmphasis"/>
              </w:rPr>
              <w:t>Total comprehensive income/(loss) attributable to Antalpha</w:t>
            </w:r>
          </w:p>
        </w:tc>
        <w:tc>
          <w:tcPr>
            <w:tcW w:w="1264" w:type="dxa"/>
            <w:tcBorders/>
            <w:vAlign w:val="center"/>
          </w:tcPr>
          <w:p>
            <w:pPr>
              <w:pStyle w:val="TableContents"/>
              <w:bidi w:val="0"/>
              <w:spacing w:before="0" w:after="283"/>
              <w:jc w:val="right"/>
              <w:rPr/>
            </w:pPr>
            <w:r>
              <w:rPr>
                <w:rStyle w:val="StrongEmphasis"/>
              </w:rPr>
              <w:t>674,551</w:t>
            </w:r>
          </w:p>
        </w:tc>
        <w:tc>
          <w:tcPr>
            <w:tcW w:w="193"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rStyle w:val="StrongEmphasis"/>
              </w:rPr>
              <w:t>(12,517,177</w:t>
            </w:r>
          </w:p>
        </w:tc>
        <w:tc>
          <w:tcPr>
            <w:tcW w:w="193" w:type="dxa"/>
            <w:tcBorders/>
            <w:vAlign w:val="center"/>
          </w:tcPr>
          <w:p>
            <w:pPr>
              <w:pStyle w:val="TableContents"/>
              <w:bidi w:val="0"/>
              <w:spacing w:before="0" w:after="283"/>
              <w:jc w:val="left"/>
              <w:rPr/>
            </w:pPr>
            <w:r>
              <w:rPr>
                <w:rStyle w:val="StrongEmphasis"/>
              </w:rPr>
              <w:t>)</w:t>
            </w:r>
          </w:p>
        </w:tc>
        <w:tc>
          <w:tcPr>
            <w:tcW w:w="1237" w:type="dxa"/>
            <w:tcBorders/>
            <w:vAlign w:val="center"/>
          </w:tcPr>
          <w:p>
            <w:pPr>
              <w:pStyle w:val="TableContents"/>
              <w:bidi w:val="0"/>
              <w:spacing w:before="0" w:after="283"/>
              <w:jc w:val="right"/>
              <w:rPr/>
            </w:pPr>
            <w:r>
              <w:rPr>
                <w:rStyle w:val="StrongEmphasis"/>
              </w:rPr>
              <w:t>2,130,404</w:t>
            </w:r>
          </w:p>
        </w:tc>
        <w:tc>
          <w:tcPr>
            <w:tcW w:w="1315" w:type="dxa"/>
            <w:tcBorders/>
            <w:vAlign w:val="center"/>
          </w:tcPr>
          <w:p>
            <w:pPr>
              <w:pStyle w:val="TableContents"/>
              <w:bidi w:val="0"/>
              <w:spacing w:before="0" w:after="283"/>
              <w:jc w:val="right"/>
              <w:rPr/>
            </w:pPr>
            <w:r>
              <w:rPr>
                <w:rStyle w:val="StrongEmphasis"/>
              </w:rPr>
              <w:t>(9,699,935</w:t>
            </w:r>
          </w:p>
        </w:tc>
        <w:tc>
          <w:tcPr>
            <w:tcW w:w="238" w:type="dxa"/>
            <w:tcBorders/>
            <w:vAlign w:val="center"/>
          </w:tcPr>
          <w:p>
            <w:pPr>
              <w:pStyle w:val="TableContents"/>
              <w:bidi w:val="0"/>
              <w:spacing w:before="0" w:after="283"/>
              <w:jc w:val="left"/>
              <w:rPr/>
            </w:pPr>
            <w:r>
              <w:rPr>
                <w:rStyle w:val="StrongEmphasis"/>
              </w:rPr>
              <w:t>)</w:t>
            </w:r>
          </w:p>
        </w:tc>
      </w:tr>
      <w:tr>
        <w:trPr/>
        <w:tc>
          <w:tcPr>
            <w:tcW w:w="4420" w:type="dxa"/>
            <w:tcBorders/>
            <w:vAlign w:val="center"/>
          </w:tcPr>
          <w:p>
            <w:pPr>
              <w:pStyle w:val="TableContents"/>
              <w:bidi w:val="0"/>
              <w:spacing w:before="0" w:after="283"/>
              <w:jc w:val="left"/>
              <w:rPr/>
            </w:pPr>
            <w:r>
              <w:rPr/>
              <w:t> </w:t>
            </w:r>
          </w:p>
        </w:tc>
        <w:tc>
          <w:tcPr>
            <w:tcW w:w="1457" w:type="dxa"/>
            <w:gridSpan w:val="2"/>
            <w:tcBorders/>
            <w:vAlign w:val="center"/>
          </w:tcPr>
          <w:p>
            <w:pPr>
              <w:pStyle w:val="TableContents"/>
              <w:bidi w:val="0"/>
              <w:spacing w:before="0" w:after="283"/>
              <w:jc w:val="right"/>
              <w:rPr/>
            </w:pPr>
            <w:r>
              <w:rPr/>
              <w:t> </w:t>
            </w:r>
          </w:p>
        </w:tc>
        <w:tc>
          <w:tcPr>
            <w:tcW w:w="1538" w:type="dxa"/>
            <w:gridSpan w:val="2"/>
            <w:tcBorders/>
            <w:vAlign w:val="center"/>
          </w:tcPr>
          <w:p>
            <w:pPr>
              <w:pStyle w:val="TableContents"/>
              <w:bidi w:val="0"/>
              <w:spacing w:before="0" w:after="283"/>
              <w:jc w:val="right"/>
              <w:rPr/>
            </w:pPr>
            <w:r>
              <w:rPr/>
              <w:t> </w:t>
            </w:r>
          </w:p>
        </w:tc>
        <w:tc>
          <w:tcPr>
            <w:tcW w:w="1237" w:type="dxa"/>
            <w:tcBorders/>
            <w:vAlign w:val="center"/>
          </w:tcPr>
          <w:p>
            <w:pPr>
              <w:pStyle w:val="TableContents"/>
              <w:bidi w:val="0"/>
              <w:spacing w:before="0" w:after="283"/>
              <w:jc w:val="left"/>
              <w:rPr/>
            </w:pPr>
            <w:r>
              <w:rPr/>
              <w:t> </w:t>
            </w:r>
          </w:p>
        </w:tc>
        <w:tc>
          <w:tcPr>
            <w:tcW w:w="1553" w:type="dxa"/>
            <w:gridSpan w:val="2"/>
            <w:tcBorders/>
            <w:vAlign w:val="center"/>
          </w:tcPr>
          <w:p>
            <w:pPr>
              <w:pStyle w:val="TableContents"/>
              <w:bidi w:val="0"/>
              <w:spacing w:before="0" w:after="283"/>
              <w:jc w:val="right"/>
              <w:rPr/>
            </w:pPr>
            <w:r>
              <w:rPr/>
              <w:t> </w:t>
            </w:r>
          </w:p>
        </w:tc>
      </w:tr>
      <w:tr>
        <w:trPr/>
        <w:tc>
          <w:tcPr>
            <w:tcW w:w="4420" w:type="dxa"/>
            <w:tcBorders/>
            <w:vAlign w:val="center"/>
          </w:tcPr>
          <w:p>
            <w:pPr>
              <w:pStyle w:val="TableContents"/>
              <w:bidi w:val="0"/>
              <w:spacing w:before="0" w:after="283"/>
              <w:jc w:val="left"/>
              <w:rPr/>
            </w:pPr>
            <w:r>
              <w:rPr>
                <w:rStyle w:val="StrongEmphasis"/>
              </w:rPr>
              <w:t>Weighted average number of ordinary shares</w:t>
            </w:r>
          </w:p>
        </w:tc>
        <w:tc>
          <w:tcPr>
            <w:tcW w:w="1457" w:type="dxa"/>
            <w:gridSpan w:val="2"/>
            <w:tcBorders/>
            <w:vAlign w:val="center"/>
          </w:tcPr>
          <w:p>
            <w:pPr>
              <w:pStyle w:val="TableContents"/>
              <w:bidi w:val="0"/>
              <w:spacing w:before="0" w:after="283"/>
              <w:jc w:val="right"/>
              <w:rPr/>
            </w:pPr>
            <w:r>
              <w:rPr/>
              <w:t> </w:t>
            </w:r>
          </w:p>
        </w:tc>
        <w:tc>
          <w:tcPr>
            <w:tcW w:w="1538" w:type="dxa"/>
            <w:gridSpan w:val="2"/>
            <w:tcBorders/>
            <w:vAlign w:val="center"/>
          </w:tcPr>
          <w:p>
            <w:pPr>
              <w:pStyle w:val="TableContents"/>
              <w:bidi w:val="0"/>
              <w:spacing w:before="0" w:after="283"/>
              <w:jc w:val="right"/>
              <w:rPr/>
            </w:pPr>
            <w:r>
              <w:rPr/>
              <w:t> </w:t>
            </w:r>
          </w:p>
        </w:tc>
        <w:tc>
          <w:tcPr>
            <w:tcW w:w="1237" w:type="dxa"/>
            <w:tcBorders/>
            <w:vAlign w:val="center"/>
          </w:tcPr>
          <w:p>
            <w:pPr>
              <w:pStyle w:val="TableContents"/>
              <w:bidi w:val="0"/>
              <w:spacing w:before="0" w:after="283"/>
              <w:jc w:val="right"/>
              <w:rPr/>
            </w:pPr>
            <w:r>
              <w:rPr/>
              <w:t> </w:t>
            </w:r>
          </w:p>
        </w:tc>
        <w:tc>
          <w:tcPr>
            <w:tcW w:w="1553" w:type="dxa"/>
            <w:gridSpan w:val="2"/>
            <w:tcBorders/>
            <w:vAlign w:val="center"/>
          </w:tcPr>
          <w:p>
            <w:pPr>
              <w:pStyle w:val="TableContents"/>
              <w:bidi w:val="0"/>
              <w:spacing w:before="0" w:after="283"/>
              <w:jc w:val="right"/>
              <w:rPr/>
            </w:pPr>
            <w:r>
              <w:rPr/>
              <w:t> </w:t>
            </w:r>
          </w:p>
        </w:tc>
      </w:tr>
      <w:tr>
        <w:trPr/>
        <w:tc>
          <w:tcPr>
            <w:tcW w:w="4420" w:type="dxa"/>
            <w:tcBorders/>
            <w:tcMar>
              <w:top w:w="0" w:type="dxa"/>
              <w:left w:w="0" w:type="dxa"/>
              <w:bottom w:w="0" w:type="dxa"/>
              <w:right w:w="0" w:type="dxa"/>
            </w:tcMar>
            <w:vAlign w:val="center"/>
          </w:tcPr>
          <w:p>
            <w:pPr>
              <w:pStyle w:val="TableContents"/>
              <w:bidi w:val="0"/>
              <w:spacing w:before="0" w:after="283"/>
              <w:jc w:val="left"/>
              <w:rPr/>
            </w:pPr>
            <w:r>
              <w:rPr/>
              <w:t>Basic*</w:t>
            </w:r>
          </w:p>
        </w:tc>
        <w:tc>
          <w:tcPr>
            <w:tcW w:w="1264" w:type="dxa"/>
            <w:tcBorders/>
            <w:vAlign w:val="center"/>
          </w:tcPr>
          <w:p>
            <w:pPr>
              <w:pStyle w:val="TableContents"/>
              <w:bidi w:val="0"/>
              <w:spacing w:before="0" w:after="283"/>
              <w:jc w:val="right"/>
              <w:rPr/>
            </w:pPr>
            <w:r>
              <w:rPr/>
              <w:t>21,585,385</w:t>
            </w:r>
          </w:p>
        </w:tc>
        <w:tc>
          <w:tcPr>
            <w:tcW w:w="193"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24,011,218</w:t>
            </w:r>
          </w:p>
        </w:tc>
        <w:tc>
          <w:tcPr>
            <w:tcW w:w="193" w:type="dxa"/>
            <w:tcBorders/>
            <w:vAlign w:val="center"/>
          </w:tcPr>
          <w:p>
            <w:pPr>
              <w:pStyle w:val="TableContents"/>
              <w:bidi w:val="0"/>
              <w:spacing w:before="0" w:after="283"/>
              <w:jc w:val="left"/>
              <w:rPr/>
            </w:pPr>
            <w:r>
              <w:rPr/>
              <w:t> </w:t>
            </w:r>
          </w:p>
        </w:tc>
        <w:tc>
          <w:tcPr>
            <w:tcW w:w="1237" w:type="dxa"/>
            <w:tcBorders/>
            <w:vAlign w:val="center"/>
          </w:tcPr>
          <w:p>
            <w:pPr>
              <w:pStyle w:val="TableContents"/>
              <w:bidi w:val="0"/>
              <w:spacing w:before="0" w:after="283"/>
              <w:jc w:val="right"/>
              <w:rPr/>
            </w:pPr>
            <w:r>
              <w:rPr/>
              <w:t>20,424,144</w:t>
            </w:r>
          </w:p>
        </w:tc>
        <w:tc>
          <w:tcPr>
            <w:tcW w:w="1315" w:type="dxa"/>
            <w:tcBorders/>
            <w:vAlign w:val="center"/>
          </w:tcPr>
          <w:p>
            <w:pPr>
              <w:pStyle w:val="TableContents"/>
              <w:bidi w:val="0"/>
              <w:spacing w:before="0" w:after="283"/>
              <w:jc w:val="right"/>
              <w:rPr/>
            </w:pPr>
            <w:r>
              <w:rPr/>
              <w:t>23,997,979</w:t>
            </w:r>
          </w:p>
        </w:tc>
        <w:tc>
          <w:tcPr>
            <w:tcW w:w="238" w:type="dxa"/>
            <w:tcBorders/>
            <w:vAlign w:val="center"/>
          </w:tcPr>
          <w:p>
            <w:pPr>
              <w:pStyle w:val="TableContents"/>
              <w:bidi w:val="0"/>
              <w:spacing w:before="0" w:after="283"/>
              <w:jc w:val="left"/>
              <w:rPr/>
            </w:pPr>
            <w:r>
              <w:rPr/>
              <w:t> </w:t>
            </w:r>
          </w:p>
        </w:tc>
      </w:tr>
      <w:tr>
        <w:trPr/>
        <w:tc>
          <w:tcPr>
            <w:tcW w:w="4420" w:type="dxa"/>
            <w:tcBorders/>
            <w:tcMar>
              <w:top w:w="0" w:type="dxa"/>
              <w:left w:w="0" w:type="dxa"/>
              <w:bottom w:w="0" w:type="dxa"/>
              <w:right w:w="0" w:type="dxa"/>
            </w:tcMar>
            <w:vAlign w:val="center"/>
          </w:tcPr>
          <w:p>
            <w:pPr>
              <w:pStyle w:val="TableContents"/>
              <w:bidi w:val="0"/>
              <w:spacing w:before="0" w:after="283"/>
              <w:jc w:val="left"/>
              <w:rPr/>
            </w:pPr>
            <w:r>
              <w:rPr/>
              <w:t>Diluted*</w:t>
            </w:r>
          </w:p>
        </w:tc>
        <w:tc>
          <w:tcPr>
            <w:tcW w:w="1264" w:type="dxa"/>
            <w:tcBorders/>
            <w:vAlign w:val="center"/>
          </w:tcPr>
          <w:p>
            <w:pPr>
              <w:pStyle w:val="TableContents"/>
              <w:bidi w:val="0"/>
              <w:spacing w:before="0" w:after="283"/>
              <w:jc w:val="right"/>
              <w:rPr/>
            </w:pPr>
            <w:r>
              <w:rPr/>
              <w:t>24,209,464</w:t>
            </w:r>
          </w:p>
        </w:tc>
        <w:tc>
          <w:tcPr>
            <w:tcW w:w="193"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26,499,593</w:t>
            </w:r>
          </w:p>
        </w:tc>
        <w:tc>
          <w:tcPr>
            <w:tcW w:w="193" w:type="dxa"/>
            <w:tcBorders/>
            <w:vAlign w:val="center"/>
          </w:tcPr>
          <w:p>
            <w:pPr>
              <w:pStyle w:val="TableContents"/>
              <w:bidi w:val="0"/>
              <w:spacing w:before="0" w:after="283"/>
              <w:jc w:val="left"/>
              <w:rPr/>
            </w:pPr>
            <w:r>
              <w:rPr/>
              <w:t> </w:t>
            </w:r>
          </w:p>
        </w:tc>
        <w:tc>
          <w:tcPr>
            <w:tcW w:w="1237" w:type="dxa"/>
            <w:tcBorders/>
            <w:vAlign w:val="center"/>
          </w:tcPr>
          <w:p>
            <w:pPr>
              <w:pStyle w:val="TableContents"/>
              <w:bidi w:val="0"/>
              <w:spacing w:before="0" w:after="283"/>
              <w:jc w:val="right"/>
              <w:rPr/>
            </w:pPr>
            <w:r>
              <w:rPr/>
              <w:t>23,025,651</w:t>
            </w:r>
          </w:p>
        </w:tc>
        <w:tc>
          <w:tcPr>
            <w:tcW w:w="1315" w:type="dxa"/>
            <w:tcBorders/>
            <w:vAlign w:val="center"/>
          </w:tcPr>
          <w:p>
            <w:pPr>
              <w:pStyle w:val="TableContents"/>
              <w:bidi w:val="0"/>
              <w:spacing w:before="0" w:after="283"/>
              <w:jc w:val="right"/>
              <w:rPr/>
            </w:pPr>
            <w:r>
              <w:rPr/>
              <w:t>26,506,472</w:t>
            </w:r>
          </w:p>
        </w:tc>
        <w:tc>
          <w:tcPr>
            <w:tcW w:w="238" w:type="dxa"/>
            <w:tcBorders/>
            <w:vAlign w:val="center"/>
          </w:tcPr>
          <w:p>
            <w:pPr>
              <w:pStyle w:val="TableContents"/>
              <w:bidi w:val="0"/>
              <w:spacing w:before="0" w:after="283"/>
              <w:jc w:val="left"/>
              <w:rPr/>
            </w:pPr>
            <w:r>
              <w:rPr/>
              <w:t> </w:t>
            </w:r>
          </w:p>
        </w:tc>
      </w:tr>
      <w:tr>
        <w:trPr/>
        <w:tc>
          <w:tcPr>
            <w:tcW w:w="4420" w:type="dxa"/>
            <w:tcBorders/>
            <w:vAlign w:val="center"/>
          </w:tcPr>
          <w:p>
            <w:pPr>
              <w:pStyle w:val="TableContents"/>
              <w:bidi w:val="0"/>
              <w:spacing w:before="0" w:after="283"/>
              <w:jc w:val="left"/>
              <w:rPr/>
            </w:pPr>
            <w:r>
              <w:rPr>
                <w:rStyle w:val="StrongEmphasis"/>
              </w:rPr>
              <w:t>Earnings/(loss) per share</w:t>
            </w:r>
          </w:p>
        </w:tc>
        <w:tc>
          <w:tcPr>
            <w:tcW w:w="1457" w:type="dxa"/>
            <w:gridSpan w:val="2"/>
            <w:tcBorders/>
            <w:vAlign w:val="center"/>
          </w:tcPr>
          <w:p>
            <w:pPr>
              <w:pStyle w:val="TableContents"/>
              <w:bidi w:val="0"/>
              <w:spacing w:before="0" w:after="283"/>
              <w:jc w:val="right"/>
              <w:rPr/>
            </w:pPr>
            <w:r>
              <w:rPr/>
              <w:t> </w:t>
            </w:r>
          </w:p>
        </w:tc>
        <w:tc>
          <w:tcPr>
            <w:tcW w:w="1538" w:type="dxa"/>
            <w:gridSpan w:val="2"/>
            <w:tcBorders/>
            <w:vAlign w:val="center"/>
          </w:tcPr>
          <w:p>
            <w:pPr>
              <w:pStyle w:val="TableContents"/>
              <w:bidi w:val="0"/>
              <w:spacing w:before="0" w:after="283"/>
              <w:jc w:val="right"/>
              <w:rPr/>
            </w:pPr>
            <w:r>
              <w:rPr/>
              <w:t> </w:t>
            </w:r>
          </w:p>
        </w:tc>
        <w:tc>
          <w:tcPr>
            <w:tcW w:w="1237" w:type="dxa"/>
            <w:tcBorders/>
            <w:vAlign w:val="center"/>
          </w:tcPr>
          <w:p>
            <w:pPr>
              <w:pStyle w:val="TableContents"/>
              <w:bidi w:val="0"/>
              <w:spacing w:before="0" w:after="283"/>
              <w:jc w:val="right"/>
              <w:rPr/>
            </w:pPr>
            <w:r>
              <w:rPr/>
              <w:t> </w:t>
            </w:r>
          </w:p>
        </w:tc>
        <w:tc>
          <w:tcPr>
            <w:tcW w:w="1553" w:type="dxa"/>
            <w:gridSpan w:val="2"/>
            <w:tcBorders/>
            <w:vAlign w:val="center"/>
          </w:tcPr>
          <w:p>
            <w:pPr>
              <w:pStyle w:val="TableContents"/>
              <w:bidi w:val="0"/>
              <w:spacing w:before="0" w:after="283"/>
              <w:jc w:val="right"/>
              <w:rPr/>
            </w:pPr>
            <w:r>
              <w:rPr/>
              <w:t> </w:t>
            </w:r>
          </w:p>
        </w:tc>
      </w:tr>
      <w:tr>
        <w:trPr/>
        <w:tc>
          <w:tcPr>
            <w:tcW w:w="4420" w:type="dxa"/>
            <w:tcBorders/>
            <w:tcMar>
              <w:top w:w="0" w:type="dxa"/>
              <w:left w:w="0" w:type="dxa"/>
              <w:bottom w:w="0" w:type="dxa"/>
              <w:right w:w="0" w:type="dxa"/>
            </w:tcMar>
            <w:vAlign w:val="center"/>
          </w:tcPr>
          <w:p>
            <w:pPr>
              <w:pStyle w:val="TableContents"/>
              <w:bidi w:val="0"/>
              <w:spacing w:before="0" w:after="283"/>
              <w:jc w:val="left"/>
              <w:rPr/>
            </w:pPr>
            <w:r>
              <w:rPr/>
              <w:t>Basic*</w:t>
            </w:r>
          </w:p>
        </w:tc>
        <w:tc>
          <w:tcPr>
            <w:tcW w:w="1264" w:type="dxa"/>
            <w:tcBorders/>
            <w:vAlign w:val="center"/>
          </w:tcPr>
          <w:p>
            <w:pPr>
              <w:pStyle w:val="TableContents"/>
              <w:bidi w:val="0"/>
              <w:spacing w:before="0" w:after="283"/>
              <w:jc w:val="right"/>
              <w:rPr/>
            </w:pPr>
            <w:r>
              <w:rPr/>
              <w:t>0.03</w:t>
            </w:r>
          </w:p>
        </w:tc>
        <w:tc>
          <w:tcPr>
            <w:tcW w:w="193"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(0.52</w:t>
            </w:r>
          </w:p>
        </w:tc>
        <w:tc>
          <w:tcPr>
            <w:tcW w:w="193" w:type="dxa"/>
            <w:tcBorders/>
            <w:vAlign w:val="center"/>
          </w:tcPr>
          <w:p>
            <w:pPr>
              <w:pStyle w:val="TableContents"/>
              <w:bidi w:val="0"/>
              <w:spacing w:before="0" w:after="283"/>
              <w:jc w:val="left"/>
              <w:rPr/>
            </w:pPr>
            <w:r>
              <w:rPr/>
              <w:t>)</w:t>
            </w:r>
          </w:p>
        </w:tc>
        <w:tc>
          <w:tcPr>
            <w:tcW w:w="1237" w:type="dxa"/>
            <w:tcBorders/>
            <w:vAlign w:val="center"/>
          </w:tcPr>
          <w:p>
            <w:pPr>
              <w:pStyle w:val="TableContents"/>
              <w:bidi w:val="0"/>
              <w:spacing w:before="0" w:after="283"/>
              <w:jc w:val="right"/>
              <w:rPr/>
            </w:pPr>
            <w:r>
              <w:rPr/>
              <w:t>0.10</w:t>
            </w:r>
          </w:p>
        </w:tc>
        <w:tc>
          <w:tcPr>
            <w:tcW w:w="1315" w:type="dxa"/>
            <w:tcBorders/>
            <w:vAlign w:val="center"/>
          </w:tcPr>
          <w:p>
            <w:pPr>
              <w:pStyle w:val="TableContents"/>
              <w:bidi w:val="0"/>
              <w:spacing w:before="0" w:after="283"/>
              <w:jc w:val="right"/>
              <w:rPr/>
            </w:pPr>
            <w:r>
              <w:rPr/>
              <w:t>(0.41</w:t>
            </w:r>
          </w:p>
        </w:tc>
        <w:tc>
          <w:tcPr>
            <w:tcW w:w="238" w:type="dxa"/>
            <w:tcBorders/>
            <w:vAlign w:val="center"/>
          </w:tcPr>
          <w:p>
            <w:pPr>
              <w:pStyle w:val="TableContents"/>
              <w:bidi w:val="0"/>
              <w:spacing w:before="0" w:after="283"/>
              <w:jc w:val="left"/>
              <w:rPr/>
            </w:pPr>
            <w:r>
              <w:rPr/>
              <w:t>)</w:t>
            </w:r>
          </w:p>
        </w:tc>
      </w:tr>
      <w:tr>
        <w:trPr/>
        <w:tc>
          <w:tcPr>
            <w:tcW w:w="4420" w:type="dxa"/>
            <w:tcBorders/>
            <w:tcMar>
              <w:top w:w="0" w:type="dxa"/>
              <w:left w:w="0" w:type="dxa"/>
              <w:bottom w:w="0" w:type="dxa"/>
              <w:right w:w="0" w:type="dxa"/>
            </w:tcMar>
            <w:vAlign w:val="center"/>
          </w:tcPr>
          <w:p>
            <w:pPr>
              <w:pStyle w:val="TableContents"/>
              <w:bidi w:val="0"/>
              <w:spacing w:before="0" w:after="283"/>
              <w:jc w:val="left"/>
              <w:rPr/>
            </w:pPr>
            <w:r>
              <w:rPr/>
              <w:t>Diluted*</w:t>
            </w:r>
          </w:p>
        </w:tc>
        <w:tc>
          <w:tcPr>
            <w:tcW w:w="1264" w:type="dxa"/>
            <w:tcBorders/>
            <w:vAlign w:val="center"/>
          </w:tcPr>
          <w:p>
            <w:pPr>
              <w:pStyle w:val="TableContents"/>
              <w:bidi w:val="0"/>
              <w:spacing w:before="0" w:after="283"/>
              <w:jc w:val="right"/>
              <w:rPr/>
            </w:pPr>
            <w:r>
              <w:rPr/>
              <w:t>0.03</w:t>
            </w:r>
          </w:p>
        </w:tc>
        <w:tc>
          <w:tcPr>
            <w:tcW w:w="193"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right"/>
              <w:rPr/>
            </w:pPr>
            <w:r>
              <w:rPr/>
              <w:t>(0.47</w:t>
            </w:r>
          </w:p>
        </w:tc>
        <w:tc>
          <w:tcPr>
            <w:tcW w:w="193" w:type="dxa"/>
            <w:tcBorders/>
            <w:vAlign w:val="center"/>
          </w:tcPr>
          <w:p>
            <w:pPr>
              <w:pStyle w:val="TableContents"/>
              <w:bidi w:val="0"/>
              <w:spacing w:before="0" w:after="283"/>
              <w:jc w:val="left"/>
              <w:rPr/>
            </w:pPr>
            <w:r>
              <w:rPr/>
              <w:t>)</w:t>
            </w:r>
          </w:p>
        </w:tc>
        <w:tc>
          <w:tcPr>
            <w:tcW w:w="1237" w:type="dxa"/>
            <w:tcBorders/>
            <w:vAlign w:val="center"/>
          </w:tcPr>
          <w:p>
            <w:pPr>
              <w:pStyle w:val="TableContents"/>
              <w:bidi w:val="0"/>
              <w:spacing w:before="0" w:after="283"/>
              <w:jc w:val="right"/>
              <w:rPr/>
            </w:pPr>
            <w:r>
              <w:rPr/>
              <w:t>0.09</w:t>
            </w:r>
          </w:p>
        </w:tc>
        <w:tc>
          <w:tcPr>
            <w:tcW w:w="1315" w:type="dxa"/>
            <w:tcBorders/>
            <w:vAlign w:val="center"/>
          </w:tcPr>
          <w:p>
            <w:pPr>
              <w:pStyle w:val="TableContents"/>
              <w:bidi w:val="0"/>
              <w:spacing w:before="0" w:after="283"/>
              <w:jc w:val="right"/>
              <w:rPr/>
            </w:pPr>
            <w:r>
              <w:rPr/>
              <w:t>(0.37</w:t>
            </w:r>
          </w:p>
        </w:tc>
        <w:tc>
          <w:tcPr>
            <w:tcW w:w="238" w:type="dxa"/>
            <w:tcBorders/>
            <w:vAlign w:val="center"/>
          </w:tcPr>
          <w:p>
            <w:pPr>
              <w:pStyle w:val="TableContents"/>
              <w:bidi w:val="0"/>
              <w:spacing w:before="0" w:after="283"/>
              <w:jc w:val="left"/>
              <w:rPr/>
            </w:pPr>
            <w:r>
              <w:rPr/>
              <w:t>)</w:t>
            </w:r>
          </w:p>
        </w:tc>
      </w:tr>
      <w:tr>
        <w:trPr/>
        <w:tc>
          <w:tcPr>
            <w:tcW w:w="4420" w:type="dxa"/>
            <w:tcBorders/>
            <w:vAlign w:val="center"/>
          </w:tcPr>
          <w:p>
            <w:pPr>
              <w:pStyle w:val="TableContents"/>
              <w:bidi w:val="0"/>
              <w:spacing w:before="0" w:after="283"/>
              <w:jc w:val="left"/>
              <w:rPr/>
            </w:pPr>
            <w:r>
              <w:rPr/>
              <w:t> </w:t>
            </w:r>
          </w:p>
        </w:tc>
        <w:tc>
          <w:tcPr>
            <w:tcW w:w="1264"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1345"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1237" w:type="dxa"/>
            <w:tcBorders/>
            <w:vAlign w:val="center"/>
          </w:tcPr>
          <w:p>
            <w:pPr>
              <w:pStyle w:val="TableContents"/>
              <w:bidi w:val="0"/>
              <w:spacing w:before="0" w:after="283"/>
              <w:jc w:val="left"/>
              <w:rPr/>
            </w:pPr>
            <w:r>
              <w:rPr/>
              <w:t> </w:t>
            </w:r>
          </w:p>
        </w:tc>
        <w:tc>
          <w:tcPr>
            <w:tcW w:w="1315"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r>
    </w:tbl>
    <w:p>
      <w:pPr>
        <w:pStyle w:val="TextBody"/>
        <w:bidi w:val="0"/>
        <w:spacing w:before="0" w:after="283"/>
        <w:jc w:val="left"/>
        <w:rPr/>
      </w:pPr>
      <w:r>
        <w:rPr/>
        <w:t>*Giving retroactive effect to the reverse stock split effected on April 18, 2025.</w:t>
        <w:br/>
        <w:t>(i) Reflects fair value change on XAUt, XAUt collateral receivables due from related party and XAUE, which are managed by AURE.</w:t>
        <w:br/>
        <w:t>(ii) Non-operating income includes other income and fair value change on crypto assets and liabilities, including fair value change on Antalpha Prime’s XAUE assets.</w:t>
      </w:r>
    </w:p>
    <w:tbl>
      <w:tblPr>
        <w:tblW w:w="12716" w:type="dxa"/>
        <w:jc w:val="left"/>
        <w:tblInd w:w="0" w:type="dxa"/>
        <w:tblLayout w:type="fixed"/>
        <w:tblCellMar>
          <w:top w:w="28" w:type="dxa"/>
          <w:left w:w="28" w:type="dxa"/>
          <w:bottom w:w="28" w:type="dxa"/>
          <w:right w:w="28" w:type="dxa"/>
        </w:tblCellMar>
      </w:tblPr>
      <w:tblGrid>
        <w:gridCol w:w="1441"/>
        <w:gridCol w:w="1186"/>
        <w:gridCol w:w="1186"/>
        <w:gridCol w:w="1261"/>
        <w:gridCol w:w="721"/>
        <w:gridCol w:w="1261"/>
        <w:gridCol w:w="1186"/>
        <w:gridCol w:w="1186"/>
        <w:gridCol w:w="1261"/>
        <w:gridCol w:w="721"/>
        <w:gridCol w:w="1306"/>
      </w:tblGrid>
      <w:tr>
        <w:trPr/>
        <w:tc>
          <w:tcPr>
            <w:tcW w:w="12716" w:type="dxa"/>
            <w:gridSpan w:val="11"/>
            <w:tcBorders/>
            <w:vAlign w:val="center"/>
          </w:tcPr>
          <w:p>
            <w:pPr>
              <w:pStyle w:val="TableContents"/>
              <w:bidi w:val="0"/>
              <w:spacing w:before="0" w:after="283"/>
              <w:jc w:val="center"/>
              <w:rPr/>
            </w:pPr>
            <w:r>
              <w:rPr>
                <w:rStyle w:val="StrongEmphasis"/>
              </w:rPr>
              <w:t>Antalpha Platform Holding Company</w:t>
              <w:br/>
              <w:t>Selected Information</w:t>
              <w:br/>
            </w:r>
            <w:r>
              <w:rPr/>
              <w:t>(in USD, unaudited)</w:t>
            </w:r>
          </w:p>
        </w:tc>
      </w:tr>
      <w:tr>
        <w:trPr/>
        <w:tc>
          <w:tcPr>
            <w:tcW w:w="1441" w:type="dxa"/>
            <w:tcBorders/>
            <w:vAlign w:val="center"/>
          </w:tcPr>
          <w:p>
            <w:pPr>
              <w:pStyle w:val="TableContents"/>
              <w:bidi w:val="0"/>
              <w:spacing w:before="0" w:after="283"/>
              <w:jc w:val="left"/>
              <w:rPr/>
            </w:pPr>
            <w:r>
              <w:rPr/>
              <w:t> </w:t>
            </w:r>
          </w:p>
        </w:tc>
        <w:tc>
          <w:tcPr>
            <w:tcW w:w="5615" w:type="dxa"/>
            <w:gridSpan w:val="5"/>
            <w:tcBorders/>
            <w:vAlign w:val="center"/>
          </w:tcPr>
          <w:p>
            <w:pPr>
              <w:pStyle w:val="TableContents"/>
              <w:bidi w:val="0"/>
              <w:spacing w:before="0" w:after="283"/>
              <w:jc w:val="center"/>
              <w:rPr/>
            </w:pPr>
            <w:r>
              <w:rPr>
                <w:rStyle w:val="StrongEmphasis"/>
              </w:rPr>
              <w:t>Three months ended June 30,</w:t>
            </w:r>
          </w:p>
        </w:tc>
        <w:tc>
          <w:tcPr>
            <w:tcW w:w="5660" w:type="dxa"/>
            <w:gridSpan w:val="5"/>
            <w:tcBorders/>
            <w:vAlign w:val="center"/>
          </w:tcPr>
          <w:p>
            <w:pPr>
              <w:pStyle w:val="TableContents"/>
              <w:bidi w:val="0"/>
              <w:spacing w:before="0" w:after="283"/>
              <w:jc w:val="center"/>
              <w:rPr/>
            </w:pPr>
            <w:r>
              <w:rPr>
                <w:rStyle w:val="StrongEmphasis"/>
              </w:rPr>
              <w:t>Six months ended June 30,</w:t>
            </w:r>
          </w:p>
        </w:tc>
      </w:tr>
      <w:tr>
        <w:trPr/>
        <w:tc>
          <w:tcPr>
            <w:tcW w:w="1441"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center"/>
              <w:rPr/>
            </w:pPr>
            <w:r>
              <w:rPr>
                <w:rStyle w:val="StrongEmphasis"/>
              </w:rPr>
              <w:t>2025</w:t>
            </w:r>
          </w:p>
        </w:tc>
        <w:tc>
          <w:tcPr>
            <w:tcW w:w="4429" w:type="dxa"/>
            <w:gridSpan w:val="4"/>
            <w:tcBorders/>
            <w:vAlign w:val="center"/>
          </w:tcPr>
          <w:p>
            <w:pPr>
              <w:pStyle w:val="TableContents"/>
              <w:bidi w:val="0"/>
              <w:spacing w:before="0" w:after="283"/>
              <w:jc w:val="center"/>
              <w:rPr/>
            </w:pPr>
            <w:r>
              <w:rPr>
                <w:rStyle w:val="StrongEmphasis"/>
              </w:rPr>
              <w:t>2026</w:t>
            </w:r>
          </w:p>
        </w:tc>
        <w:tc>
          <w:tcPr>
            <w:tcW w:w="1186" w:type="dxa"/>
            <w:tcBorders/>
            <w:vAlign w:val="center"/>
          </w:tcPr>
          <w:p>
            <w:pPr>
              <w:pStyle w:val="TableContents"/>
              <w:bidi w:val="0"/>
              <w:spacing w:before="0" w:after="283"/>
              <w:jc w:val="center"/>
              <w:rPr/>
            </w:pPr>
            <w:r>
              <w:rPr>
                <w:rStyle w:val="StrongEmphasis"/>
              </w:rPr>
              <w:t>2025</w:t>
            </w:r>
          </w:p>
        </w:tc>
        <w:tc>
          <w:tcPr>
            <w:tcW w:w="4474" w:type="dxa"/>
            <w:gridSpan w:val="4"/>
            <w:tcBorders/>
            <w:vAlign w:val="center"/>
          </w:tcPr>
          <w:p>
            <w:pPr>
              <w:pStyle w:val="TableContents"/>
              <w:bidi w:val="0"/>
              <w:spacing w:before="0" w:after="283"/>
              <w:jc w:val="center"/>
              <w:rPr/>
            </w:pPr>
            <w:r>
              <w:rPr>
                <w:rStyle w:val="StrongEmphasis"/>
              </w:rPr>
              <w:t>2026</w:t>
            </w:r>
          </w:p>
        </w:tc>
      </w:tr>
      <w:tr>
        <w:trPr/>
        <w:tc>
          <w:tcPr>
            <w:tcW w:w="1441"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center"/>
              <w:rPr/>
            </w:pPr>
            <w:r>
              <w:rPr>
                <w:rStyle w:val="StrongEmphasis"/>
              </w:rPr>
              <w:t>Antalpha</w:t>
            </w:r>
          </w:p>
        </w:tc>
        <w:tc>
          <w:tcPr>
            <w:tcW w:w="1186" w:type="dxa"/>
            <w:tcBorders/>
            <w:vAlign w:val="center"/>
          </w:tcPr>
          <w:p>
            <w:pPr>
              <w:pStyle w:val="TableContents"/>
              <w:bidi w:val="0"/>
              <w:spacing w:before="0" w:after="283"/>
              <w:jc w:val="center"/>
              <w:rPr/>
            </w:pPr>
            <w:r>
              <w:rPr>
                <w:rStyle w:val="StrongEmphasis"/>
              </w:rPr>
              <w:t>Antalpha</w:t>
            </w:r>
          </w:p>
        </w:tc>
        <w:tc>
          <w:tcPr>
            <w:tcW w:w="1261" w:type="dxa"/>
            <w:tcBorders/>
            <w:vAlign w:val="center"/>
          </w:tcPr>
          <w:p>
            <w:pPr>
              <w:pStyle w:val="TableContents"/>
              <w:bidi w:val="0"/>
              <w:spacing w:before="0" w:after="283"/>
              <w:jc w:val="center"/>
              <w:rPr/>
            </w:pPr>
            <w:r>
              <w:rPr>
                <w:rStyle w:val="StrongEmphasis"/>
              </w:rPr>
              <w:t>AURE</w:t>
            </w:r>
          </w:p>
        </w:tc>
        <w:tc>
          <w:tcPr>
            <w:tcW w:w="721" w:type="dxa"/>
            <w:tcBorders/>
            <w:vAlign w:val="center"/>
          </w:tcPr>
          <w:p>
            <w:pPr>
              <w:pStyle w:val="TableContents"/>
              <w:bidi w:val="0"/>
              <w:spacing w:before="0" w:after="283"/>
              <w:jc w:val="center"/>
              <w:rPr/>
            </w:pPr>
            <w:r>
              <w:rPr>
                <w:rStyle w:val="StrongEmphasis"/>
              </w:rPr>
              <w:t>adj</w:t>
            </w:r>
          </w:p>
        </w:tc>
        <w:tc>
          <w:tcPr>
            <w:tcW w:w="1261" w:type="dxa"/>
            <w:tcBorders/>
            <w:vAlign w:val="center"/>
          </w:tcPr>
          <w:p>
            <w:pPr>
              <w:pStyle w:val="TableContents"/>
              <w:bidi w:val="0"/>
              <w:spacing w:before="0" w:after="283"/>
              <w:jc w:val="center"/>
              <w:rPr/>
            </w:pPr>
            <w:r>
              <w:rPr>
                <w:rStyle w:val="StrongEmphasis"/>
              </w:rPr>
              <w:t>AA Group</w:t>
            </w:r>
          </w:p>
        </w:tc>
        <w:tc>
          <w:tcPr>
            <w:tcW w:w="1186" w:type="dxa"/>
            <w:tcBorders/>
            <w:vAlign w:val="center"/>
          </w:tcPr>
          <w:p>
            <w:pPr>
              <w:pStyle w:val="TableContents"/>
              <w:bidi w:val="0"/>
              <w:spacing w:before="0" w:after="283"/>
              <w:jc w:val="center"/>
              <w:rPr/>
            </w:pPr>
            <w:r>
              <w:rPr>
                <w:rStyle w:val="StrongEmphasis"/>
              </w:rPr>
              <w:t>Antalpha</w:t>
            </w:r>
          </w:p>
        </w:tc>
        <w:tc>
          <w:tcPr>
            <w:tcW w:w="1186" w:type="dxa"/>
            <w:tcBorders/>
            <w:vAlign w:val="center"/>
          </w:tcPr>
          <w:p>
            <w:pPr>
              <w:pStyle w:val="TableContents"/>
              <w:bidi w:val="0"/>
              <w:spacing w:before="0" w:after="283"/>
              <w:jc w:val="center"/>
              <w:rPr/>
            </w:pPr>
            <w:r>
              <w:rPr>
                <w:rStyle w:val="StrongEmphasis"/>
              </w:rPr>
              <w:t>Antalpha</w:t>
            </w:r>
          </w:p>
        </w:tc>
        <w:tc>
          <w:tcPr>
            <w:tcW w:w="1261" w:type="dxa"/>
            <w:tcBorders/>
            <w:vAlign w:val="center"/>
          </w:tcPr>
          <w:p>
            <w:pPr>
              <w:pStyle w:val="TableContents"/>
              <w:bidi w:val="0"/>
              <w:spacing w:before="0" w:after="283"/>
              <w:jc w:val="center"/>
              <w:rPr/>
            </w:pPr>
            <w:r>
              <w:rPr>
                <w:rStyle w:val="StrongEmphasis"/>
              </w:rPr>
              <w:t>AURE</w:t>
            </w:r>
          </w:p>
        </w:tc>
        <w:tc>
          <w:tcPr>
            <w:tcW w:w="721" w:type="dxa"/>
            <w:tcBorders/>
            <w:vAlign w:val="center"/>
          </w:tcPr>
          <w:p>
            <w:pPr>
              <w:pStyle w:val="TableContents"/>
              <w:bidi w:val="0"/>
              <w:spacing w:before="0" w:after="283"/>
              <w:jc w:val="center"/>
              <w:rPr/>
            </w:pPr>
            <w:r>
              <w:rPr>
                <w:rStyle w:val="StrongEmphasis"/>
              </w:rPr>
              <w:t>adj</w:t>
            </w:r>
          </w:p>
        </w:tc>
        <w:tc>
          <w:tcPr>
            <w:tcW w:w="1306" w:type="dxa"/>
            <w:tcBorders/>
            <w:vAlign w:val="center"/>
          </w:tcPr>
          <w:p>
            <w:pPr>
              <w:pStyle w:val="TableContents"/>
              <w:bidi w:val="0"/>
              <w:spacing w:before="0" w:after="283"/>
              <w:jc w:val="center"/>
              <w:rPr/>
            </w:pPr>
            <w:r>
              <w:rPr>
                <w:rStyle w:val="StrongEmphasis"/>
              </w:rPr>
              <w:t>AA Group</w:t>
            </w:r>
          </w:p>
        </w:tc>
      </w:tr>
      <w:tr>
        <w:trPr/>
        <w:tc>
          <w:tcPr>
            <w:tcW w:w="1441" w:type="dxa"/>
            <w:tcBorders/>
            <w:vAlign w:val="center"/>
          </w:tcPr>
          <w:p>
            <w:pPr>
              <w:pStyle w:val="TableContents"/>
              <w:bidi w:val="0"/>
              <w:spacing w:before="0" w:after="283"/>
              <w:jc w:val="left"/>
              <w:rPr/>
            </w:pPr>
            <w:r>
              <w:rPr>
                <w:rStyle w:val="StrongEmphasis"/>
              </w:rPr>
              <w:t>Tota Revenues</w:t>
            </w:r>
          </w:p>
        </w:tc>
        <w:tc>
          <w:tcPr>
            <w:tcW w:w="1186" w:type="dxa"/>
            <w:tcBorders/>
            <w:vAlign w:val="center"/>
          </w:tcPr>
          <w:p>
            <w:pPr>
              <w:pStyle w:val="TableContents"/>
              <w:bidi w:val="0"/>
              <w:spacing w:before="0" w:after="283"/>
              <w:jc w:val="right"/>
              <w:rPr/>
            </w:pPr>
            <w:r>
              <w:rPr>
                <w:rStyle w:val="StrongEmphasis"/>
              </w:rPr>
              <w:t>17,009,755</w:t>
            </w:r>
          </w:p>
        </w:tc>
        <w:tc>
          <w:tcPr>
            <w:tcW w:w="1186" w:type="dxa"/>
            <w:tcBorders/>
            <w:vAlign w:val="center"/>
          </w:tcPr>
          <w:p>
            <w:pPr>
              <w:pStyle w:val="TableContents"/>
              <w:bidi w:val="0"/>
              <w:spacing w:before="0" w:after="283"/>
              <w:jc w:val="right"/>
              <w:rPr/>
            </w:pPr>
            <w:r>
              <w:rPr>
                <w:rStyle w:val="StrongEmphasis"/>
              </w:rPr>
              <w:t>12,206,211</w:t>
            </w:r>
          </w:p>
        </w:tc>
        <w:tc>
          <w:tcPr>
            <w:tcW w:w="1261" w:type="dxa"/>
            <w:tcBorders/>
            <w:vAlign w:val="center"/>
          </w:tcPr>
          <w:p>
            <w:pPr>
              <w:pStyle w:val="TableContents"/>
              <w:bidi w:val="0"/>
              <w:spacing w:before="0" w:after="283"/>
              <w:jc w:val="right"/>
              <w:rPr/>
            </w:pPr>
            <w:r>
              <w:rPr>
                <w:rStyle w:val="StrongEmphasis"/>
              </w:rPr>
              <w:t>—</w:t>
            </w:r>
          </w:p>
        </w:tc>
        <w:tc>
          <w:tcPr>
            <w:tcW w:w="721" w:type="dxa"/>
            <w:tcBorders/>
            <w:vAlign w:val="center"/>
          </w:tcPr>
          <w:p>
            <w:pPr>
              <w:pStyle w:val="TableContents"/>
              <w:bidi w:val="0"/>
              <w:spacing w:before="0" w:after="283"/>
              <w:jc w:val="right"/>
              <w:rPr/>
            </w:pPr>
            <w:r>
              <w:rPr>
                <w:rStyle w:val="StrongEmphasis"/>
              </w:rPr>
              <w:t>—</w:t>
            </w:r>
          </w:p>
        </w:tc>
        <w:tc>
          <w:tcPr>
            <w:tcW w:w="1261" w:type="dxa"/>
            <w:tcBorders/>
            <w:vAlign w:val="center"/>
          </w:tcPr>
          <w:p>
            <w:pPr>
              <w:pStyle w:val="TableContents"/>
              <w:bidi w:val="0"/>
              <w:spacing w:before="0" w:after="283"/>
              <w:jc w:val="right"/>
              <w:rPr/>
            </w:pPr>
            <w:r>
              <w:rPr>
                <w:rStyle w:val="StrongEmphasis"/>
              </w:rPr>
              <w:t>12,206,211</w:t>
            </w:r>
          </w:p>
        </w:tc>
        <w:tc>
          <w:tcPr>
            <w:tcW w:w="1186" w:type="dxa"/>
            <w:tcBorders/>
            <w:vAlign w:val="center"/>
          </w:tcPr>
          <w:p>
            <w:pPr>
              <w:pStyle w:val="TableContents"/>
              <w:bidi w:val="0"/>
              <w:spacing w:before="0" w:after="283"/>
              <w:jc w:val="right"/>
              <w:rPr/>
            </w:pPr>
            <w:r>
              <w:rPr>
                <w:rStyle w:val="StrongEmphasis"/>
              </w:rPr>
              <w:t>30,606,242</w:t>
            </w:r>
          </w:p>
        </w:tc>
        <w:tc>
          <w:tcPr>
            <w:tcW w:w="1186" w:type="dxa"/>
            <w:tcBorders/>
            <w:vAlign w:val="center"/>
          </w:tcPr>
          <w:p>
            <w:pPr>
              <w:pStyle w:val="TableContents"/>
              <w:bidi w:val="0"/>
              <w:spacing w:before="0" w:after="283"/>
              <w:jc w:val="right"/>
              <w:rPr/>
            </w:pPr>
            <w:r>
              <w:rPr>
                <w:rStyle w:val="StrongEmphasis"/>
              </w:rPr>
              <w:t>32,929,895</w:t>
            </w:r>
          </w:p>
        </w:tc>
        <w:tc>
          <w:tcPr>
            <w:tcW w:w="1261" w:type="dxa"/>
            <w:tcBorders/>
            <w:vAlign w:val="center"/>
          </w:tcPr>
          <w:p>
            <w:pPr>
              <w:pStyle w:val="TableContents"/>
              <w:bidi w:val="0"/>
              <w:spacing w:before="0" w:after="283"/>
              <w:jc w:val="right"/>
              <w:rPr/>
            </w:pPr>
            <w:r>
              <w:rPr>
                <w:rStyle w:val="StrongEmphasis"/>
              </w:rPr>
              <w:t>—</w:t>
            </w:r>
          </w:p>
        </w:tc>
        <w:tc>
          <w:tcPr>
            <w:tcW w:w="721" w:type="dxa"/>
            <w:tcBorders/>
            <w:vAlign w:val="center"/>
          </w:tcPr>
          <w:p>
            <w:pPr>
              <w:pStyle w:val="TableContents"/>
              <w:bidi w:val="0"/>
              <w:spacing w:before="0" w:after="283"/>
              <w:jc w:val="right"/>
              <w:rPr/>
            </w:pPr>
            <w:r>
              <w:rPr>
                <w:rStyle w:val="StrongEmphasis"/>
              </w:rPr>
              <w:t>—</w:t>
            </w:r>
          </w:p>
        </w:tc>
        <w:tc>
          <w:tcPr>
            <w:tcW w:w="1306" w:type="dxa"/>
            <w:tcBorders/>
            <w:vAlign w:val="center"/>
          </w:tcPr>
          <w:p>
            <w:pPr>
              <w:pStyle w:val="TableContents"/>
              <w:bidi w:val="0"/>
              <w:spacing w:before="0" w:after="283"/>
              <w:jc w:val="right"/>
              <w:rPr/>
            </w:pPr>
            <w:r>
              <w:rPr>
                <w:rStyle w:val="StrongEmphasis"/>
              </w:rPr>
              <w:t>32,929,895</w:t>
            </w:r>
          </w:p>
        </w:tc>
      </w:tr>
      <w:tr>
        <w:trPr/>
        <w:tc>
          <w:tcPr>
            <w:tcW w:w="1441" w:type="dxa"/>
            <w:tcBorders/>
            <w:tcMar>
              <w:top w:w="0" w:type="dxa"/>
              <w:left w:w="0" w:type="dxa"/>
              <w:bottom w:w="0" w:type="dxa"/>
              <w:right w:w="0" w:type="dxa"/>
            </w:tcMar>
            <w:vAlign w:val="center"/>
          </w:tcPr>
          <w:p>
            <w:pPr>
              <w:pStyle w:val="TableContents"/>
              <w:bidi w:val="0"/>
              <w:spacing w:before="0" w:after="283"/>
              <w:jc w:val="left"/>
              <w:rPr/>
            </w:pPr>
            <w:r>
              <w:rPr>
                <w:rStyle w:val="Emphasis"/>
              </w:rPr>
              <w:t>YOY</w:t>
            </w:r>
          </w:p>
        </w:tc>
        <w:tc>
          <w:tcPr>
            <w:tcW w:w="118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(28%)</w:t>
            </w:r>
          </w:p>
        </w:tc>
        <w:tc>
          <w:tcPr>
            <w:tcW w:w="1261" w:type="dxa"/>
            <w:tcBorders/>
            <w:vAlign w:val="center"/>
          </w:tcPr>
          <w:p>
            <w:pPr>
              <w:pStyle w:val="TableContents"/>
              <w:bidi w:val="0"/>
              <w:spacing w:before="0" w:after="283"/>
              <w:jc w:val="right"/>
              <w:rPr/>
            </w:pPr>
            <w:r>
              <w:rPr/>
              <w:t>—</w:t>
            </w:r>
          </w:p>
        </w:tc>
        <w:tc>
          <w:tcPr>
            <w:tcW w:w="721" w:type="dxa"/>
            <w:tcBorders/>
            <w:vAlign w:val="center"/>
          </w:tcPr>
          <w:p>
            <w:pPr>
              <w:pStyle w:val="TableContents"/>
              <w:bidi w:val="0"/>
              <w:spacing w:before="0" w:after="283"/>
              <w:jc w:val="right"/>
              <w:rPr/>
            </w:pPr>
            <w:r>
              <w:rPr/>
              <w:t>—</w:t>
            </w:r>
          </w:p>
        </w:tc>
        <w:tc>
          <w:tcPr>
            <w:tcW w:w="1261" w:type="dxa"/>
            <w:tcBorders/>
            <w:vAlign w:val="center"/>
          </w:tcPr>
          <w:p>
            <w:pPr>
              <w:pStyle w:val="TableContents"/>
              <w:bidi w:val="0"/>
              <w:spacing w:before="0" w:after="283"/>
              <w:jc w:val="right"/>
              <w:rPr/>
            </w:pPr>
            <w:r>
              <w:rPr/>
              <w:t>(28%)</w:t>
            </w:r>
          </w:p>
        </w:tc>
        <w:tc>
          <w:tcPr>
            <w:tcW w:w="118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8%</w:t>
            </w:r>
          </w:p>
        </w:tc>
        <w:tc>
          <w:tcPr>
            <w:tcW w:w="1261" w:type="dxa"/>
            <w:tcBorders/>
            <w:vAlign w:val="center"/>
          </w:tcPr>
          <w:p>
            <w:pPr>
              <w:pStyle w:val="TableContents"/>
              <w:bidi w:val="0"/>
              <w:spacing w:before="0" w:after="283"/>
              <w:jc w:val="right"/>
              <w:rPr/>
            </w:pPr>
            <w:r>
              <w:rPr/>
              <w:t>—</w:t>
            </w:r>
          </w:p>
        </w:tc>
        <w:tc>
          <w:tcPr>
            <w:tcW w:w="721"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8%</w:t>
            </w:r>
          </w:p>
        </w:tc>
      </w:tr>
      <w:tr>
        <w:trPr/>
        <w:tc>
          <w:tcPr>
            <w:tcW w:w="1441" w:type="dxa"/>
            <w:tcBorders/>
            <w:vAlign w:val="center"/>
          </w:tcPr>
          <w:p>
            <w:pPr>
              <w:pStyle w:val="TableContents"/>
              <w:bidi w:val="0"/>
              <w:spacing w:before="0" w:after="283"/>
              <w:jc w:val="left"/>
              <w:rPr/>
            </w:pPr>
            <w:r>
              <w:rPr>
                <w:rStyle w:val="StrongEmphasis"/>
              </w:rPr>
              <w:t>Operating expenses</w:t>
            </w:r>
          </w:p>
        </w:tc>
        <w:tc>
          <w:tcPr>
            <w:tcW w:w="118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left"/>
              <w:rPr/>
            </w:pPr>
            <w:r>
              <w:rPr/>
              <w:t> </w:t>
            </w:r>
          </w:p>
        </w:tc>
        <w:tc>
          <w:tcPr>
            <w:tcW w:w="1261" w:type="dxa"/>
            <w:tcBorders/>
            <w:vAlign w:val="center"/>
          </w:tcPr>
          <w:p>
            <w:pPr>
              <w:pStyle w:val="TableContents"/>
              <w:bidi w:val="0"/>
              <w:spacing w:before="0" w:after="283"/>
              <w:jc w:val="right"/>
              <w:rPr/>
            </w:pPr>
            <w:r>
              <w:rPr/>
              <w:t> </w:t>
            </w:r>
          </w:p>
        </w:tc>
        <w:tc>
          <w:tcPr>
            <w:tcW w:w="721" w:type="dxa"/>
            <w:tcBorders/>
            <w:vAlign w:val="center"/>
          </w:tcPr>
          <w:p>
            <w:pPr>
              <w:pStyle w:val="TableContents"/>
              <w:bidi w:val="0"/>
              <w:spacing w:before="0" w:after="283"/>
              <w:jc w:val="right"/>
              <w:rPr/>
            </w:pPr>
            <w:r>
              <w:rPr/>
              <w:t> </w:t>
            </w:r>
          </w:p>
        </w:tc>
        <w:tc>
          <w:tcPr>
            <w:tcW w:w="1261"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left"/>
              <w:rPr/>
            </w:pPr>
            <w:r>
              <w:rPr/>
              <w:t> </w:t>
            </w:r>
          </w:p>
        </w:tc>
        <w:tc>
          <w:tcPr>
            <w:tcW w:w="1261" w:type="dxa"/>
            <w:tcBorders/>
            <w:vAlign w:val="center"/>
          </w:tcPr>
          <w:p>
            <w:pPr>
              <w:pStyle w:val="TableContents"/>
              <w:bidi w:val="0"/>
              <w:spacing w:before="0" w:after="283"/>
              <w:jc w:val="right"/>
              <w:rPr/>
            </w:pPr>
            <w:r>
              <w:rPr/>
              <w:t> </w:t>
            </w:r>
          </w:p>
        </w:tc>
        <w:tc>
          <w:tcPr>
            <w:tcW w:w="721"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left"/>
              <w:rPr/>
            </w:pPr>
            <w:r>
              <w:rPr/>
              <w:t> </w:t>
            </w:r>
          </w:p>
        </w:tc>
      </w:tr>
      <w:tr>
        <w:trPr/>
        <w:tc>
          <w:tcPr>
            <w:tcW w:w="1441" w:type="dxa"/>
            <w:tcBorders/>
            <w:tcMar>
              <w:top w:w="0" w:type="dxa"/>
              <w:left w:w="0" w:type="dxa"/>
              <w:bottom w:w="0" w:type="dxa"/>
              <w:right w:w="0" w:type="dxa"/>
            </w:tcMar>
            <w:vAlign w:val="center"/>
          </w:tcPr>
          <w:p>
            <w:pPr>
              <w:pStyle w:val="TableContents"/>
              <w:bidi w:val="0"/>
              <w:spacing w:before="0" w:after="283"/>
              <w:jc w:val="left"/>
              <w:rPr/>
            </w:pPr>
            <w:r>
              <w:rPr/>
              <w:t>Funding cost</w:t>
            </w:r>
          </w:p>
        </w:tc>
        <w:tc>
          <w:tcPr>
            <w:tcW w:w="1186" w:type="dxa"/>
            <w:tcBorders/>
            <w:vAlign w:val="center"/>
          </w:tcPr>
          <w:p>
            <w:pPr>
              <w:pStyle w:val="TableContents"/>
              <w:bidi w:val="0"/>
              <w:spacing w:before="0" w:after="283"/>
              <w:jc w:val="right"/>
              <w:rPr/>
            </w:pPr>
            <w:r>
              <w:rPr/>
              <w:t>8,691,218</w:t>
            </w:r>
          </w:p>
        </w:tc>
        <w:tc>
          <w:tcPr>
            <w:tcW w:w="1186" w:type="dxa"/>
            <w:tcBorders/>
            <w:vAlign w:val="center"/>
          </w:tcPr>
          <w:p>
            <w:pPr>
              <w:pStyle w:val="TableContents"/>
              <w:bidi w:val="0"/>
              <w:spacing w:before="0" w:after="283"/>
              <w:jc w:val="right"/>
              <w:rPr/>
            </w:pPr>
            <w:r>
              <w:rPr/>
              <w:t>5,263,476</w:t>
            </w:r>
          </w:p>
        </w:tc>
        <w:tc>
          <w:tcPr>
            <w:tcW w:w="1261" w:type="dxa"/>
            <w:tcBorders/>
            <w:vAlign w:val="center"/>
          </w:tcPr>
          <w:p>
            <w:pPr>
              <w:pStyle w:val="TableContents"/>
              <w:bidi w:val="0"/>
              <w:spacing w:before="0" w:after="283"/>
              <w:jc w:val="right"/>
              <w:rPr/>
            </w:pPr>
            <w:r>
              <w:rPr/>
              <w:t>—</w:t>
            </w:r>
          </w:p>
        </w:tc>
        <w:tc>
          <w:tcPr>
            <w:tcW w:w="721" w:type="dxa"/>
            <w:tcBorders/>
            <w:vAlign w:val="center"/>
          </w:tcPr>
          <w:p>
            <w:pPr>
              <w:pStyle w:val="TableContents"/>
              <w:bidi w:val="0"/>
              <w:spacing w:before="0" w:after="283"/>
              <w:jc w:val="right"/>
              <w:rPr/>
            </w:pPr>
            <w:r>
              <w:rPr/>
              <w:t>—</w:t>
            </w:r>
          </w:p>
        </w:tc>
        <w:tc>
          <w:tcPr>
            <w:tcW w:w="1261" w:type="dxa"/>
            <w:tcBorders/>
            <w:vAlign w:val="center"/>
          </w:tcPr>
          <w:p>
            <w:pPr>
              <w:pStyle w:val="TableContents"/>
              <w:bidi w:val="0"/>
              <w:spacing w:before="0" w:after="283"/>
              <w:jc w:val="right"/>
              <w:rPr/>
            </w:pPr>
            <w:r>
              <w:rPr/>
              <w:t>5,263,476</w:t>
            </w:r>
          </w:p>
        </w:tc>
        <w:tc>
          <w:tcPr>
            <w:tcW w:w="1186" w:type="dxa"/>
            <w:tcBorders/>
            <w:vAlign w:val="center"/>
          </w:tcPr>
          <w:p>
            <w:pPr>
              <w:pStyle w:val="TableContents"/>
              <w:bidi w:val="0"/>
              <w:spacing w:before="0" w:after="283"/>
              <w:jc w:val="right"/>
              <w:rPr/>
            </w:pPr>
            <w:r>
              <w:rPr/>
              <w:t>15,257,264</w:t>
            </w:r>
          </w:p>
        </w:tc>
        <w:tc>
          <w:tcPr>
            <w:tcW w:w="1186" w:type="dxa"/>
            <w:tcBorders/>
            <w:vAlign w:val="center"/>
          </w:tcPr>
          <w:p>
            <w:pPr>
              <w:pStyle w:val="TableContents"/>
              <w:bidi w:val="0"/>
              <w:spacing w:before="0" w:after="283"/>
              <w:jc w:val="right"/>
              <w:rPr/>
            </w:pPr>
            <w:r>
              <w:rPr/>
              <w:t>15,694,648</w:t>
            </w:r>
          </w:p>
        </w:tc>
        <w:tc>
          <w:tcPr>
            <w:tcW w:w="1261" w:type="dxa"/>
            <w:tcBorders/>
            <w:vAlign w:val="center"/>
          </w:tcPr>
          <w:p>
            <w:pPr>
              <w:pStyle w:val="TableContents"/>
              <w:bidi w:val="0"/>
              <w:spacing w:before="0" w:after="283"/>
              <w:jc w:val="right"/>
              <w:rPr/>
            </w:pPr>
            <w:r>
              <w:rPr/>
              <w:t>—</w:t>
            </w:r>
          </w:p>
        </w:tc>
        <w:tc>
          <w:tcPr>
            <w:tcW w:w="721"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15,694,648</w:t>
            </w:r>
          </w:p>
        </w:tc>
      </w:tr>
      <w:tr>
        <w:trPr/>
        <w:tc>
          <w:tcPr>
            <w:tcW w:w="1441" w:type="dxa"/>
            <w:tcBorders/>
            <w:tcMar>
              <w:top w:w="0" w:type="dxa"/>
              <w:left w:w="0" w:type="dxa"/>
              <w:bottom w:w="0" w:type="dxa"/>
              <w:right w:w="0" w:type="dxa"/>
            </w:tcMar>
            <w:vAlign w:val="center"/>
          </w:tcPr>
          <w:p>
            <w:pPr>
              <w:pStyle w:val="TableContents"/>
              <w:bidi w:val="0"/>
              <w:spacing w:before="0" w:after="283"/>
              <w:jc w:val="left"/>
              <w:rPr/>
            </w:pPr>
            <w:r>
              <w:rPr/>
              <w:t>Technology and development</w:t>
            </w:r>
          </w:p>
        </w:tc>
        <w:tc>
          <w:tcPr>
            <w:tcW w:w="1186" w:type="dxa"/>
            <w:tcBorders/>
            <w:vAlign w:val="center"/>
          </w:tcPr>
          <w:p>
            <w:pPr>
              <w:pStyle w:val="TableContents"/>
              <w:bidi w:val="0"/>
              <w:spacing w:before="0" w:after="283"/>
              <w:jc w:val="right"/>
              <w:rPr/>
            </w:pPr>
            <w:r>
              <w:rPr/>
              <w:t>1,356,386</w:t>
            </w:r>
          </w:p>
        </w:tc>
        <w:tc>
          <w:tcPr>
            <w:tcW w:w="1186" w:type="dxa"/>
            <w:tcBorders/>
            <w:vAlign w:val="center"/>
          </w:tcPr>
          <w:p>
            <w:pPr>
              <w:pStyle w:val="TableContents"/>
              <w:bidi w:val="0"/>
              <w:spacing w:before="0" w:after="283"/>
              <w:jc w:val="right"/>
              <w:rPr/>
            </w:pPr>
            <w:r>
              <w:rPr/>
              <w:t>1,353,665</w:t>
            </w:r>
          </w:p>
        </w:tc>
        <w:tc>
          <w:tcPr>
            <w:tcW w:w="1261" w:type="dxa"/>
            <w:tcBorders/>
            <w:vAlign w:val="center"/>
          </w:tcPr>
          <w:p>
            <w:pPr>
              <w:pStyle w:val="TableContents"/>
              <w:bidi w:val="0"/>
              <w:spacing w:before="0" w:after="283"/>
              <w:jc w:val="right"/>
              <w:rPr/>
            </w:pPr>
            <w:r>
              <w:rPr/>
              <w:t>—</w:t>
            </w:r>
          </w:p>
        </w:tc>
        <w:tc>
          <w:tcPr>
            <w:tcW w:w="721" w:type="dxa"/>
            <w:tcBorders/>
            <w:vAlign w:val="center"/>
          </w:tcPr>
          <w:p>
            <w:pPr>
              <w:pStyle w:val="TableContents"/>
              <w:bidi w:val="0"/>
              <w:spacing w:before="0" w:after="283"/>
              <w:jc w:val="right"/>
              <w:rPr/>
            </w:pPr>
            <w:r>
              <w:rPr/>
              <w:t>—</w:t>
            </w:r>
          </w:p>
        </w:tc>
        <w:tc>
          <w:tcPr>
            <w:tcW w:w="1261" w:type="dxa"/>
            <w:tcBorders/>
            <w:vAlign w:val="center"/>
          </w:tcPr>
          <w:p>
            <w:pPr>
              <w:pStyle w:val="TableContents"/>
              <w:bidi w:val="0"/>
              <w:spacing w:before="0" w:after="283"/>
              <w:jc w:val="right"/>
              <w:rPr/>
            </w:pPr>
            <w:r>
              <w:rPr/>
              <w:t>1,353,665</w:t>
            </w:r>
          </w:p>
        </w:tc>
        <w:tc>
          <w:tcPr>
            <w:tcW w:w="1186" w:type="dxa"/>
            <w:tcBorders/>
            <w:vAlign w:val="center"/>
          </w:tcPr>
          <w:p>
            <w:pPr>
              <w:pStyle w:val="TableContents"/>
              <w:bidi w:val="0"/>
              <w:spacing w:before="0" w:after="283"/>
              <w:jc w:val="right"/>
              <w:rPr/>
            </w:pPr>
            <w:r>
              <w:rPr/>
              <w:t>2,641,746</w:t>
            </w:r>
          </w:p>
        </w:tc>
        <w:tc>
          <w:tcPr>
            <w:tcW w:w="1186" w:type="dxa"/>
            <w:tcBorders/>
            <w:vAlign w:val="center"/>
          </w:tcPr>
          <w:p>
            <w:pPr>
              <w:pStyle w:val="TableContents"/>
              <w:bidi w:val="0"/>
              <w:spacing w:before="0" w:after="283"/>
              <w:jc w:val="right"/>
              <w:rPr/>
            </w:pPr>
            <w:r>
              <w:rPr/>
              <w:t>3,892,797</w:t>
            </w:r>
          </w:p>
        </w:tc>
        <w:tc>
          <w:tcPr>
            <w:tcW w:w="1261" w:type="dxa"/>
            <w:tcBorders/>
            <w:vAlign w:val="center"/>
          </w:tcPr>
          <w:p>
            <w:pPr>
              <w:pStyle w:val="TableContents"/>
              <w:bidi w:val="0"/>
              <w:spacing w:before="0" w:after="283"/>
              <w:jc w:val="right"/>
              <w:rPr/>
            </w:pPr>
            <w:r>
              <w:rPr/>
              <w:t>—</w:t>
            </w:r>
          </w:p>
        </w:tc>
        <w:tc>
          <w:tcPr>
            <w:tcW w:w="721"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3,892,797</w:t>
            </w:r>
          </w:p>
        </w:tc>
      </w:tr>
      <w:tr>
        <w:trPr/>
        <w:tc>
          <w:tcPr>
            <w:tcW w:w="1441" w:type="dxa"/>
            <w:tcBorders/>
            <w:tcMar>
              <w:top w:w="0" w:type="dxa"/>
              <w:left w:w="0" w:type="dxa"/>
              <w:bottom w:w="0" w:type="dxa"/>
              <w:right w:w="0" w:type="dxa"/>
            </w:tcMar>
            <w:vAlign w:val="center"/>
          </w:tcPr>
          <w:p>
            <w:pPr>
              <w:pStyle w:val="TableContents"/>
              <w:bidi w:val="0"/>
              <w:spacing w:before="0" w:after="283"/>
              <w:jc w:val="left"/>
              <w:rPr/>
            </w:pPr>
            <w:r>
              <w:rPr/>
              <w:t>Sales and marketing</w:t>
            </w:r>
          </w:p>
        </w:tc>
        <w:tc>
          <w:tcPr>
            <w:tcW w:w="1186" w:type="dxa"/>
            <w:tcBorders/>
            <w:vAlign w:val="center"/>
          </w:tcPr>
          <w:p>
            <w:pPr>
              <w:pStyle w:val="TableContents"/>
              <w:bidi w:val="0"/>
              <w:spacing w:before="0" w:after="283"/>
              <w:jc w:val="right"/>
              <w:rPr/>
            </w:pPr>
            <w:r>
              <w:rPr/>
              <w:t>1,282,575</w:t>
            </w:r>
          </w:p>
        </w:tc>
        <w:tc>
          <w:tcPr>
            <w:tcW w:w="1186" w:type="dxa"/>
            <w:tcBorders/>
            <w:vAlign w:val="center"/>
          </w:tcPr>
          <w:p>
            <w:pPr>
              <w:pStyle w:val="TableContents"/>
              <w:bidi w:val="0"/>
              <w:spacing w:before="0" w:after="283"/>
              <w:jc w:val="right"/>
              <w:rPr/>
            </w:pPr>
            <w:r>
              <w:rPr/>
              <w:t>2,156,874</w:t>
            </w:r>
          </w:p>
        </w:tc>
        <w:tc>
          <w:tcPr>
            <w:tcW w:w="1261" w:type="dxa"/>
            <w:tcBorders/>
            <w:vAlign w:val="center"/>
          </w:tcPr>
          <w:p>
            <w:pPr>
              <w:pStyle w:val="TableContents"/>
              <w:bidi w:val="0"/>
              <w:spacing w:before="0" w:after="283"/>
              <w:jc w:val="right"/>
              <w:rPr/>
            </w:pPr>
            <w:r>
              <w:rPr/>
              <w:t>37,653</w:t>
            </w:r>
          </w:p>
        </w:tc>
        <w:tc>
          <w:tcPr>
            <w:tcW w:w="721" w:type="dxa"/>
            <w:tcBorders/>
            <w:vAlign w:val="center"/>
          </w:tcPr>
          <w:p>
            <w:pPr>
              <w:pStyle w:val="TableContents"/>
              <w:bidi w:val="0"/>
              <w:spacing w:before="0" w:after="283"/>
              <w:jc w:val="right"/>
              <w:rPr/>
            </w:pPr>
            <w:r>
              <w:rPr/>
              <w:t>—</w:t>
            </w:r>
          </w:p>
        </w:tc>
        <w:tc>
          <w:tcPr>
            <w:tcW w:w="1261" w:type="dxa"/>
            <w:tcBorders/>
            <w:vAlign w:val="center"/>
          </w:tcPr>
          <w:p>
            <w:pPr>
              <w:pStyle w:val="TableContents"/>
              <w:bidi w:val="0"/>
              <w:spacing w:before="0" w:after="283"/>
              <w:jc w:val="right"/>
              <w:rPr/>
            </w:pPr>
            <w:r>
              <w:rPr/>
              <w:t>2,194,527</w:t>
            </w:r>
          </w:p>
        </w:tc>
        <w:tc>
          <w:tcPr>
            <w:tcW w:w="1186" w:type="dxa"/>
            <w:tcBorders/>
            <w:vAlign w:val="center"/>
          </w:tcPr>
          <w:p>
            <w:pPr>
              <w:pStyle w:val="TableContents"/>
              <w:bidi w:val="0"/>
              <w:spacing w:before="0" w:after="283"/>
              <w:jc w:val="right"/>
              <w:rPr/>
            </w:pPr>
            <w:r>
              <w:rPr/>
              <w:t>2,255,391</w:t>
            </w:r>
          </w:p>
        </w:tc>
        <w:tc>
          <w:tcPr>
            <w:tcW w:w="1186" w:type="dxa"/>
            <w:tcBorders/>
            <w:vAlign w:val="center"/>
          </w:tcPr>
          <w:p>
            <w:pPr>
              <w:pStyle w:val="TableContents"/>
              <w:bidi w:val="0"/>
              <w:spacing w:before="0" w:after="283"/>
              <w:jc w:val="right"/>
              <w:rPr/>
            </w:pPr>
            <w:r>
              <w:rPr/>
              <w:t>6,649,215</w:t>
            </w:r>
          </w:p>
        </w:tc>
        <w:tc>
          <w:tcPr>
            <w:tcW w:w="1261" w:type="dxa"/>
            <w:tcBorders/>
            <w:vAlign w:val="center"/>
          </w:tcPr>
          <w:p>
            <w:pPr>
              <w:pStyle w:val="TableContents"/>
              <w:bidi w:val="0"/>
              <w:spacing w:before="0" w:after="283"/>
              <w:jc w:val="right"/>
              <w:rPr/>
            </w:pPr>
            <w:r>
              <w:rPr/>
              <w:t>137,449</w:t>
            </w:r>
          </w:p>
        </w:tc>
        <w:tc>
          <w:tcPr>
            <w:tcW w:w="721"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6,786,664</w:t>
            </w:r>
          </w:p>
        </w:tc>
      </w:tr>
      <w:tr>
        <w:trPr/>
        <w:tc>
          <w:tcPr>
            <w:tcW w:w="1441" w:type="dxa"/>
            <w:tcBorders/>
            <w:tcMar>
              <w:top w:w="0" w:type="dxa"/>
              <w:left w:w="0" w:type="dxa"/>
              <w:bottom w:w="0" w:type="dxa"/>
              <w:right w:w="0" w:type="dxa"/>
            </w:tcMar>
            <w:vAlign w:val="center"/>
          </w:tcPr>
          <w:p>
            <w:pPr>
              <w:pStyle w:val="TableContents"/>
              <w:bidi w:val="0"/>
              <w:spacing w:before="0" w:after="283"/>
              <w:jc w:val="left"/>
              <w:rPr/>
            </w:pPr>
            <w:r>
              <w:rPr/>
              <w:t>General and administrative</w:t>
            </w:r>
          </w:p>
        </w:tc>
        <w:tc>
          <w:tcPr>
            <w:tcW w:w="1186" w:type="dxa"/>
            <w:tcBorders/>
            <w:vAlign w:val="center"/>
          </w:tcPr>
          <w:p>
            <w:pPr>
              <w:pStyle w:val="TableContents"/>
              <w:bidi w:val="0"/>
              <w:spacing w:before="0" w:after="283"/>
              <w:jc w:val="right"/>
              <w:rPr/>
            </w:pPr>
            <w:r>
              <w:rPr/>
              <w:t>5,710,860</w:t>
            </w:r>
          </w:p>
        </w:tc>
        <w:tc>
          <w:tcPr>
            <w:tcW w:w="1186" w:type="dxa"/>
            <w:tcBorders/>
            <w:vAlign w:val="center"/>
          </w:tcPr>
          <w:p>
            <w:pPr>
              <w:pStyle w:val="TableContents"/>
              <w:bidi w:val="0"/>
              <w:spacing w:before="0" w:after="283"/>
              <w:jc w:val="right"/>
              <w:rPr/>
            </w:pPr>
            <w:r>
              <w:rPr/>
              <w:t>3,837,228</w:t>
            </w:r>
          </w:p>
        </w:tc>
        <w:tc>
          <w:tcPr>
            <w:tcW w:w="1261" w:type="dxa"/>
            <w:tcBorders/>
            <w:vAlign w:val="center"/>
          </w:tcPr>
          <w:p>
            <w:pPr>
              <w:pStyle w:val="TableContents"/>
              <w:bidi w:val="0"/>
              <w:spacing w:before="0" w:after="283"/>
              <w:jc w:val="right"/>
              <w:rPr/>
            </w:pPr>
            <w:r>
              <w:rPr/>
              <w:t>2,072,369</w:t>
            </w:r>
          </w:p>
        </w:tc>
        <w:tc>
          <w:tcPr>
            <w:tcW w:w="721" w:type="dxa"/>
            <w:tcBorders/>
            <w:vAlign w:val="center"/>
          </w:tcPr>
          <w:p>
            <w:pPr>
              <w:pStyle w:val="TableContents"/>
              <w:bidi w:val="0"/>
              <w:spacing w:before="0" w:after="283"/>
              <w:jc w:val="right"/>
              <w:rPr/>
            </w:pPr>
            <w:r>
              <w:rPr/>
              <w:t>(3,000)</w:t>
            </w:r>
          </w:p>
        </w:tc>
        <w:tc>
          <w:tcPr>
            <w:tcW w:w="1261" w:type="dxa"/>
            <w:tcBorders/>
            <w:vAlign w:val="center"/>
          </w:tcPr>
          <w:p>
            <w:pPr>
              <w:pStyle w:val="TableContents"/>
              <w:bidi w:val="0"/>
              <w:spacing w:before="0" w:after="283"/>
              <w:jc w:val="right"/>
              <w:rPr/>
            </w:pPr>
            <w:r>
              <w:rPr/>
              <w:t>5,906,597</w:t>
            </w:r>
          </w:p>
        </w:tc>
        <w:tc>
          <w:tcPr>
            <w:tcW w:w="1186" w:type="dxa"/>
            <w:tcBorders/>
            <w:vAlign w:val="center"/>
          </w:tcPr>
          <w:p>
            <w:pPr>
              <w:pStyle w:val="TableContents"/>
              <w:bidi w:val="0"/>
              <w:spacing w:before="0" w:after="283"/>
              <w:jc w:val="right"/>
              <w:rPr/>
            </w:pPr>
            <w:r>
              <w:rPr/>
              <w:t>8,856,502</w:t>
            </w:r>
          </w:p>
        </w:tc>
        <w:tc>
          <w:tcPr>
            <w:tcW w:w="1186" w:type="dxa"/>
            <w:tcBorders/>
            <w:vAlign w:val="center"/>
          </w:tcPr>
          <w:p>
            <w:pPr>
              <w:pStyle w:val="TableContents"/>
              <w:bidi w:val="0"/>
              <w:spacing w:before="0" w:after="283"/>
              <w:jc w:val="right"/>
              <w:rPr/>
            </w:pPr>
            <w:r>
              <w:rPr/>
              <w:t>9,214,495</w:t>
            </w:r>
          </w:p>
        </w:tc>
        <w:tc>
          <w:tcPr>
            <w:tcW w:w="1261" w:type="dxa"/>
            <w:tcBorders/>
            <w:vAlign w:val="center"/>
          </w:tcPr>
          <w:p>
            <w:pPr>
              <w:pStyle w:val="TableContents"/>
              <w:bidi w:val="0"/>
              <w:spacing w:before="0" w:after="283"/>
              <w:jc w:val="right"/>
              <w:rPr/>
            </w:pPr>
            <w:r>
              <w:rPr/>
              <w:t>3,975,188</w:t>
            </w:r>
          </w:p>
        </w:tc>
        <w:tc>
          <w:tcPr>
            <w:tcW w:w="721" w:type="dxa"/>
            <w:tcBorders/>
            <w:vAlign w:val="center"/>
          </w:tcPr>
          <w:p>
            <w:pPr>
              <w:pStyle w:val="TableContents"/>
              <w:bidi w:val="0"/>
              <w:spacing w:before="0" w:after="283"/>
              <w:jc w:val="right"/>
              <w:rPr/>
            </w:pPr>
            <w:r>
              <w:rPr/>
              <w:t>(3,000)</w:t>
            </w:r>
          </w:p>
        </w:tc>
        <w:tc>
          <w:tcPr>
            <w:tcW w:w="1306" w:type="dxa"/>
            <w:tcBorders/>
            <w:vAlign w:val="center"/>
          </w:tcPr>
          <w:p>
            <w:pPr>
              <w:pStyle w:val="TableContents"/>
              <w:bidi w:val="0"/>
              <w:spacing w:before="0" w:after="283"/>
              <w:jc w:val="right"/>
              <w:rPr/>
            </w:pPr>
            <w:r>
              <w:rPr/>
              <w:t>13,186,683</w:t>
            </w:r>
          </w:p>
        </w:tc>
      </w:tr>
      <w:tr>
        <w:trPr/>
        <w:tc>
          <w:tcPr>
            <w:tcW w:w="1441" w:type="dxa"/>
            <w:tcBorders/>
            <w:tcMar>
              <w:top w:w="0" w:type="dxa"/>
              <w:left w:w="0" w:type="dxa"/>
              <w:bottom w:w="0" w:type="dxa"/>
              <w:right w:w="0" w:type="dxa"/>
            </w:tcMar>
            <w:vAlign w:val="center"/>
          </w:tcPr>
          <w:p>
            <w:pPr>
              <w:pStyle w:val="TableContents"/>
              <w:bidi w:val="0"/>
              <w:spacing w:before="0" w:after="283"/>
              <w:jc w:val="left"/>
              <w:rPr/>
            </w:pPr>
            <w:r>
              <w:rPr/>
              <w:t>Fair value change on crypto assets</w:t>
            </w:r>
          </w:p>
        </w:tc>
        <w:tc>
          <w:tcPr>
            <w:tcW w:w="118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w:t>
            </w:r>
          </w:p>
        </w:tc>
        <w:tc>
          <w:tcPr>
            <w:tcW w:w="1261" w:type="dxa"/>
            <w:tcBorders/>
            <w:vAlign w:val="center"/>
          </w:tcPr>
          <w:p>
            <w:pPr>
              <w:pStyle w:val="TableContents"/>
              <w:bidi w:val="0"/>
              <w:spacing w:before="0" w:after="283"/>
              <w:jc w:val="right"/>
              <w:rPr/>
            </w:pPr>
            <w:r>
              <w:rPr/>
              <w:t>22,289,289</w:t>
            </w:r>
          </w:p>
        </w:tc>
        <w:tc>
          <w:tcPr>
            <w:tcW w:w="721" w:type="dxa"/>
            <w:tcBorders/>
            <w:vAlign w:val="center"/>
          </w:tcPr>
          <w:p>
            <w:pPr>
              <w:pStyle w:val="TableContents"/>
              <w:bidi w:val="0"/>
              <w:spacing w:before="0" w:after="283"/>
              <w:jc w:val="right"/>
              <w:rPr/>
            </w:pPr>
            <w:r>
              <w:rPr/>
              <w:t>—</w:t>
            </w:r>
          </w:p>
        </w:tc>
        <w:tc>
          <w:tcPr>
            <w:tcW w:w="1261" w:type="dxa"/>
            <w:tcBorders/>
            <w:vAlign w:val="center"/>
          </w:tcPr>
          <w:p>
            <w:pPr>
              <w:pStyle w:val="TableContents"/>
              <w:bidi w:val="0"/>
              <w:spacing w:before="0" w:after="283"/>
              <w:jc w:val="right"/>
              <w:rPr/>
            </w:pPr>
            <w:r>
              <w:rPr/>
              <w:t>22,289,289</w:t>
            </w:r>
          </w:p>
        </w:tc>
        <w:tc>
          <w:tcPr>
            <w:tcW w:w="118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w:t>
            </w:r>
          </w:p>
        </w:tc>
        <w:tc>
          <w:tcPr>
            <w:tcW w:w="1261" w:type="dxa"/>
            <w:tcBorders/>
            <w:vAlign w:val="center"/>
          </w:tcPr>
          <w:p>
            <w:pPr>
              <w:pStyle w:val="TableContents"/>
              <w:bidi w:val="0"/>
              <w:spacing w:before="0" w:after="283"/>
              <w:jc w:val="right"/>
              <w:rPr/>
            </w:pPr>
            <w:r>
              <w:rPr/>
              <w:t>11,352,092</w:t>
            </w:r>
          </w:p>
        </w:tc>
        <w:tc>
          <w:tcPr>
            <w:tcW w:w="721"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11,352,092</w:t>
            </w:r>
          </w:p>
        </w:tc>
      </w:tr>
      <w:tr>
        <w:trPr/>
        <w:tc>
          <w:tcPr>
            <w:tcW w:w="1441" w:type="dxa"/>
            <w:tcBorders/>
            <w:tcMar>
              <w:top w:w="0" w:type="dxa"/>
              <w:left w:w="0" w:type="dxa"/>
              <w:bottom w:w="0" w:type="dxa"/>
              <w:right w:w="0" w:type="dxa"/>
            </w:tcMar>
            <w:vAlign w:val="center"/>
          </w:tcPr>
          <w:p>
            <w:pPr>
              <w:pStyle w:val="TableContents"/>
              <w:bidi w:val="0"/>
              <w:spacing w:before="0" w:after="283"/>
              <w:jc w:val="left"/>
              <w:rPr/>
            </w:pPr>
            <w:r>
              <w:rPr/>
              <w:t>Other cost</w:t>
            </w:r>
          </w:p>
        </w:tc>
        <w:tc>
          <w:tcPr>
            <w:tcW w:w="1186" w:type="dxa"/>
            <w:tcBorders/>
            <w:vAlign w:val="center"/>
          </w:tcPr>
          <w:p>
            <w:pPr>
              <w:pStyle w:val="TableContents"/>
              <w:bidi w:val="0"/>
              <w:spacing w:before="0" w:after="283"/>
              <w:jc w:val="right"/>
              <w:rPr/>
            </w:pPr>
            <w:r>
              <w:rPr/>
              <w:t>434,402</w:t>
            </w:r>
          </w:p>
        </w:tc>
        <w:tc>
          <w:tcPr>
            <w:tcW w:w="1186" w:type="dxa"/>
            <w:tcBorders/>
            <w:vAlign w:val="center"/>
          </w:tcPr>
          <w:p>
            <w:pPr>
              <w:pStyle w:val="TableContents"/>
              <w:bidi w:val="0"/>
              <w:spacing w:before="0" w:after="283"/>
              <w:jc w:val="right"/>
              <w:rPr/>
            </w:pPr>
            <w:r>
              <w:rPr/>
              <w:t>269,558</w:t>
            </w:r>
          </w:p>
        </w:tc>
        <w:tc>
          <w:tcPr>
            <w:tcW w:w="1261" w:type="dxa"/>
            <w:tcBorders/>
            <w:vAlign w:val="center"/>
          </w:tcPr>
          <w:p>
            <w:pPr>
              <w:pStyle w:val="TableContents"/>
              <w:bidi w:val="0"/>
              <w:spacing w:before="0" w:after="283"/>
              <w:jc w:val="right"/>
              <w:rPr/>
            </w:pPr>
            <w:r>
              <w:rPr/>
              <w:t>—</w:t>
            </w:r>
          </w:p>
        </w:tc>
        <w:tc>
          <w:tcPr>
            <w:tcW w:w="721" w:type="dxa"/>
            <w:tcBorders/>
            <w:vAlign w:val="center"/>
          </w:tcPr>
          <w:p>
            <w:pPr>
              <w:pStyle w:val="TableContents"/>
              <w:bidi w:val="0"/>
              <w:spacing w:before="0" w:after="283"/>
              <w:jc w:val="right"/>
              <w:rPr/>
            </w:pPr>
            <w:r>
              <w:rPr/>
              <w:t>—</w:t>
            </w:r>
          </w:p>
        </w:tc>
        <w:tc>
          <w:tcPr>
            <w:tcW w:w="1261" w:type="dxa"/>
            <w:tcBorders/>
            <w:vAlign w:val="center"/>
          </w:tcPr>
          <w:p>
            <w:pPr>
              <w:pStyle w:val="TableContents"/>
              <w:bidi w:val="0"/>
              <w:spacing w:before="0" w:after="283"/>
              <w:jc w:val="right"/>
              <w:rPr/>
            </w:pPr>
            <w:r>
              <w:rPr/>
              <w:t>269,558</w:t>
            </w:r>
          </w:p>
        </w:tc>
        <w:tc>
          <w:tcPr>
            <w:tcW w:w="1186" w:type="dxa"/>
            <w:tcBorders/>
            <w:vAlign w:val="center"/>
          </w:tcPr>
          <w:p>
            <w:pPr>
              <w:pStyle w:val="TableContents"/>
              <w:bidi w:val="0"/>
              <w:spacing w:before="0" w:after="283"/>
              <w:jc w:val="right"/>
              <w:rPr/>
            </w:pPr>
            <w:r>
              <w:rPr/>
              <w:t>883,312</w:t>
            </w:r>
          </w:p>
        </w:tc>
        <w:tc>
          <w:tcPr>
            <w:tcW w:w="1186" w:type="dxa"/>
            <w:tcBorders/>
            <w:vAlign w:val="center"/>
          </w:tcPr>
          <w:p>
            <w:pPr>
              <w:pStyle w:val="TableContents"/>
              <w:bidi w:val="0"/>
              <w:spacing w:before="0" w:after="283"/>
              <w:jc w:val="right"/>
              <w:rPr/>
            </w:pPr>
            <w:r>
              <w:rPr/>
              <w:t>456,717</w:t>
            </w:r>
          </w:p>
        </w:tc>
        <w:tc>
          <w:tcPr>
            <w:tcW w:w="1261" w:type="dxa"/>
            <w:tcBorders/>
            <w:vAlign w:val="center"/>
          </w:tcPr>
          <w:p>
            <w:pPr>
              <w:pStyle w:val="TableContents"/>
              <w:bidi w:val="0"/>
              <w:spacing w:before="0" w:after="283"/>
              <w:jc w:val="right"/>
              <w:rPr/>
            </w:pPr>
            <w:r>
              <w:rPr/>
              <w:t>—</w:t>
            </w:r>
          </w:p>
        </w:tc>
        <w:tc>
          <w:tcPr>
            <w:tcW w:w="721"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456,717</w:t>
            </w:r>
          </w:p>
        </w:tc>
      </w:tr>
      <w:tr>
        <w:trPr/>
        <w:tc>
          <w:tcPr>
            <w:tcW w:w="1441" w:type="dxa"/>
            <w:tcBorders/>
            <w:vAlign w:val="center"/>
          </w:tcPr>
          <w:p>
            <w:pPr>
              <w:pStyle w:val="TableContents"/>
              <w:bidi w:val="0"/>
              <w:spacing w:before="0" w:after="283"/>
              <w:jc w:val="left"/>
              <w:rPr/>
            </w:pPr>
            <w:r>
              <w:rPr>
                <w:rStyle w:val="StrongEmphasis"/>
              </w:rPr>
              <w:t>Total operating expenses</w:t>
            </w:r>
          </w:p>
        </w:tc>
        <w:tc>
          <w:tcPr>
            <w:tcW w:w="1186" w:type="dxa"/>
            <w:tcBorders/>
            <w:vAlign w:val="center"/>
          </w:tcPr>
          <w:p>
            <w:pPr>
              <w:pStyle w:val="TableContents"/>
              <w:bidi w:val="0"/>
              <w:spacing w:before="0" w:after="283"/>
              <w:jc w:val="right"/>
              <w:rPr/>
            </w:pPr>
            <w:r>
              <w:rPr>
                <w:rStyle w:val="StrongEmphasis"/>
              </w:rPr>
              <w:t>17,475,441</w:t>
            </w:r>
          </w:p>
        </w:tc>
        <w:tc>
          <w:tcPr>
            <w:tcW w:w="1186" w:type="dxa"/>
            <w:tcBorders/>
            <w:vAlign w:val="center"/>
          </w:tcPr>
          <w:p>
            <w:pPr>
              <w:pStyle w:val="TableContents"/>
              <w:bidi w:val="0"/>
              <w:spacing w:before="0" w:after="283"/>
              <w:jc w:val="right"/>
              <w:rPr/>
            </w:pPr>
            <w:r>
              <w:rPr>
                <w:rStyle w:val="StrongEmphasis"/>
              </w:rPr>
              <w:t>12,880,801</w:t>
            </w:r>
          </w:p>
        </w:tc>
        <w:tc>
          <w:tcPr>
            <w:tcW w:w="1261" w:type="dxa"/>
            <w:tcBorders/>
            <w:vAlign w:val="center"/>
          </w:tcPr>
          <w:p>
            <w:pPr>
              <w:pStyle w:val="TableContents"/>
              <w:bidi w:val="0"/>
              <w:spacing w:before="0" w:after="283"/>
              <w:jc w:val="right"/>
              <w:rPr/>
            </w:pPr>
            <w:r>
              <w:rPr>
                <w:rStyle w:val="StrongEmphasis"/>
              </w:rPr>
              <w:t>24,399,311</w:t>
            </w:r>
          </w:p>
        </w:tc>
        <w:tc>
          <w:tcPr>
            <w:tcW w:w="721" w:type="dxa"/>
            <w:tcBorders/>
            <w:vAlign w:val="center"/>
          </w:tcPr>
          <w:p>
            <w:pPr>
              <w:pStyle w:val="TableContents"/>
              <w:bidi w:val="0"/>
              <w:spacing w:before="0" w:after="283"/>
              <w:jc w:val="right"/>
              <w:rPr/>
            </w:pPr>
            <w:r>
              <w:rPr>
                <w:rStyle w:val="StrongEmphasis"/>
              </w:rPr>
              <w:t>(3,000)</w:t>
            </w:r>
          </w:p>
        </w:tc>
        <w:tc>
          <w:tcPr>
            <w:tcW w:w="1261" w:type="dxa"/>
            <w:tcBorders/>
            <w:vAlign w:val="center"/>
          </w:tcPr>
          <w:p>
            <w:pPr>
              <w:pStyle w:val="TableContents"/>
              <w:bidi w:val="0"/>
              <w:spacing w:before="0" w:after="283"/>
              <w:jc w:val="right"/>
              <w:rPr/>
            </w:pPr>
            <w:r>
              <w:rPr>
                <w:rStyle w:val="StrongEmphasis"/>
              </w:rPr>
              <w:t>37,277,112</w:t>
            </w:r>
          </w:p>
        </w:tc>
        <w:tc>
          <w:tcPr>
            <w:tcW w:w="1186" w:type="dxa"/>
            <w:tcBorders/>
            <w:vAlign w:val="center"/>
          </w:tcPr>
          <w:p>
            <w:pPr>
              <w:pStyle w:val="TableContents"/>
              <w:bidi w:val="0"/>
              <w:spacing w:before="0" w:after="283"/>
              <w:jc w:val="right"/>
              <w:rPr/>
            </w:pPr>
            <w:r>
              <w:rPr>
                <w:rStyle w:val="StrongEmphasis"/>
              </w:rPr>
              <w:t>29,894,215</w:t>
            </w:r>
          </w:p>
        </w:tc>
        <w:tc>
          <w:tcPr>
            <w:tcW w:w="1186" w:type="dxa"/>
            <w:tcBorders/>
            <w:vAlign w:val="center"/>
          </w:tcPr>
          <w:p>
            <w:pPr>
              <w:pStyle w:val="TableContents"/>
              <w:bidi w:val="0"/>
              <w:spacing w:before="0" w:after="283"/>
              <w:jc w:val="right"/>
              <w:rPr/>
            </w:pPr>
            <w:r>
              <w:rPr>
                <w:rStyle w:val="StrongEmphasis"/>
              </w:rPr>
              <w:t>35,907,872</w:t>
            </w:r>
          </w:p>
        </w:tc>
        <w:tc>
          <w:tcPr>
            <w:tcW w:w="1261" w:type="dxa"/>
            <w:tcBorders/>
            <w:vAlign w:val="center"/>
          </w:tcPr>
          <w:p>
            <w:pPr>
              <w:pStyle w:val="TableContents"/>
              <w:bidi w:val="0"/>
              <w:spacing w:before="0" w:after="283"/>
              <w:jc w:val="right"/>
              <w:rPr/>
            </w:pPr>
            <w:r>
              <w:rPr>
                <w:rStyle w:val="StrongEmphasis"/>
              </w:rPr>
              <w:t>15,464,729</w:t>
            </w:r>
          </w:p>
        </w:tc>
        <w:tc>
          <w:tcPr>
            <w:tcW w:w="721" w:type="dxa"/>
            <w:tcBorders/>
            <w:vAlign w:val="center"/>
          </w:tcPr>
          <w:p>
            <w:pPr>
              <w:pStyle w:val="TableContents"/>
              <w:bidi w:val="0"/>
              <w:spacing w:before="0" w:after="283"/>
              <w:jc w:val="right"/>
              <w:rPr/>
            </w:pPr>
            <w:r>
              <w:rPr>
                <w:rStyle w:val="StrongEmphasis"/>
              </w:rPr>
              <w:t>(3,000)</w:t>
            </w:r>
          </w:p>
        </w:tc>
        <w:tc>
          <w:tcPr>
            <w:tcW w:w="1306" w:type="dxa"/>
            <w:tcBorders/>
            <w:vAlign w:val="center"/>
          </w:tcPr>
          <w:p>
            <w:pPr>
              <w:pStyle w:val="TableContents"/>
              <w:bidi w:val="0"/>
              <w:spacing w:before="0" w:after="283"/>
              <w:jc w:val="right"/>
              <w:rPr/>
            </w:pPr>
            <w:r>
              <w:rPr>
                <w:rStyle w:val="StrongEmphasis"/>
              </w:rPr>
              <w:t>51,369,601</w:t>
            </w:r>
          </w:p>
        </w:tc>
      </w:tr>
      <w:tr>
        <w:trPr/>
        <w:tc>
          <w:tcPr>
            <w:tcW w:w="1441" w:type="dxa"/>
            <w:tcBorders/>
            <w:vAlign w:val="center"/>
          </w:tcPr>
          <w:p>
            <w:pPr>
              <w:pStyle w:val="TableContents"/>
              <w:bidi w:val="0"/>
              <w:spacing w:before="0" w:after="283"/>
              <w:jc w:val="left"/>
              <w:rPr/>
            </w:pPr>
            <w:r>
              <w:rPr>
                <w:rStyle w:val="StrongEmphasis"/>
              </w:rPr>
              <w:t>Operating (loss)/income</w:t>
            </w:r>
          </w:p>
        </w:tc>
        <w:tc>
          <w:tcPr>
            <w:tcW w:w="1186" w:type="dxa"/>
            <w:tcBorders/>
            <w:vAlign w:val="center"/>
          </w:tcPr>
          <w:p>
            <w:pPr>
              <w:pStyle w:val="TableContents"/>
              <w:bidi w:val="0"/>
              <w:spacing w:before="0" w:after="283"/>
              <w:jc w:val="right"/>
              <w:rPr/>
            </w:pPr>
            <w:r>
              <w:rPr>
                <w:rStyle w:val="StrongEmphasis"/>
              </w:rPr>
              <w:t>(465,686)</w:t>
            </w:r>
          </w:p>
        </w:tc>
        <w:tc>
          <w:tcPr>
            <w:tcW w:w="1186" w:type="dxa"/>
            <w:tcBorders/>
            <w:vAlign w:val="center"/>
          </w:tcPr>
          <w:p>
            <w:pPr>
              <w:pStyle w:val="TableContents"/>
              <w:bidi w:val="0"/>
              <w:spacing w:before="0" w:after="283"/>
              <w:jc w:val="right"/>
              <w:rPr/>
            </w:pPr>
            <w:r>
              <w:rPr>
                <w:rStyle w:val="StrongEmphasis"/>
              </w:rPr>
              <w:t>(674,590)</w:t>
            </w:r>
          </w:p>
        </w:tc>
        <w:tc>
          <w:tcPr>
            <w:tcW w:w="1261" w:type="dxa"/>
            <w:tcBorders/>
            <w:vAlign w:val="center"/>
          </w:tcPr>
          <w:p>
            <w:pPr>
              <w:pStyle w:val="TableContents"/>
              <w:bidi w:val="0"/>
              <w:spacing w:before="0" w:after="283"/>
              <w:jc w:val="right"/>
              <w:rPr/>
            </w:pPr>
            <w:r>
              <w:rPr>
                <w:rStyle w:val="StrongEmphasis"/>
              </w:rPr>
              <w:t>(24,399,311)</w:t>
            </w:r>
          </w:p>
        </w:tc>
        <w:tc>
          <w:tcPr>
            <w:tcW w:w="721" w:type="dxa"/>
            <w:tcBorders/>
            <w:vAlign w:val="center"/>
          </w:tcPr>
          <w:p>
            <w:pPr>
              <w:pStyle w:val="TableContents"/>
              <w:bidi w:val="0"/>
              <w:spacing w:before="0" w:after="283"/>
              <w:jc w:val="right"/>
              <w:rPr/>
            </w:pPr>
            <w:r>
              <w:rPr>
                <w:rStyle w:val="StrongEmphasis"/>
              </w:rPr>
              <w:t>3,000</w:t>
            </w:r>
          </w:p>
        </w:tc>
        <w:tc>
          <w:tcPr>
            <w:tcW w:w="1261" w:type="dxa"/>
            <w:tcBorders/>
            <w:vAlign w:val="center"/>
          </w:tcPr>
          <w:p>
            <w:pPr>
              <w:pStyle w:val="TableContents"/>
              <w:bidi w:val="0"/>
              <w:spacing w:before="0" w:after="283"/>
              <w:jc w:val="right"/>
              <w:rPr/>
            </w:pPr>
            <w:r>
              <w:rPr>
                <w:rStyle w:val="StrongEmphasis"/>
              </w:rPr>
              <w:t>(25,070,901)</w:t>
            </w:r>
          </w:p>
        </w:tc>
        <w:tc>
          <w:tcPr>
            <w:tcW w:w="1186" w:type="dxa"/>
            <w:tcBorders/>
            <w:vAlign w:val="center"/>
          </w:tcPr>
          <w:p>
            <w:pPr>
              <w:pStyle w:val="TableContents"/>
              <w:bidi w:val="0"/>
              <w:spacing w:before="0" w:after="283"/>
              <w:jc w:val="right"/>
              <w:rPr/>
            </w:pPr>
            <w:r>
              <w:rPr>
                <w:rStyle w:val="StrongEmphasis"/>
              </w:rPr>
              <w:t>712,027</w:t>
            </w:r>
          </w:p>
        </w:tc>
        <w:tc>
          <w:tcPr>
            <w:tcW w:w="1186" w:type="dxa"/>
            <w:tcBorders/>
            <w:vAlign w:val="center"/>
          </w:tcPr>
          <w:p>
            <w:pPr>
              <w:pStyle w:val="TableContents"/>
              <w:bidi w:val="0"/>
              <w:spacing w:before="0" w:after="283"/>
              <w:jc w:val="right"/>
              <w:rPr/>
            </w:pPr>
            <w:r>
              <w:rPr>
                <w:rStyle w:val="StrongEmphasis"/>
              </w:rPr>
              <w:t>(2,977,977)</w:t>
            </w:r>
          </w:p>
        </w:tc>
        <w:tc>
          <w:tcPr>
            <w:tcW w:w="1261" w:type="dxa"/>
            <w:tcBorders/>
            <w:vAlign w:val="center"/>
          </w:tcPr>
          <w:p>
            <w:pPr>
              <w:pStyle w:val="TableContents"/>
              <w:bidi w:val="0"/>
              <w:spacing w:before="0" w:after="283"/>
              <w:jc w:val="right"/>
              <w:rPr/>
            </w:pPr>
            <w:r>
              <w:rPr>
                <w:rStyle w:val="StrongEmphasis"/>
              </w:rPr>
              <w:t>(15,464,729)</w:t>
            </w:r>
          </w:p>
        </w:tc>
        <w:tc>
          <w:tcPr>
            <w:tcW w:w="721" w:type="dxa"/>
            <w:tcBorders/>
            <w:vAlign w:val="center"/>
          </w:tcPr>
          <w:p>
            <w:pPr>
              <w:pStyle w:val="TableContents"/>
              <w:bidi w:val="0"/>
              <w:spacing w:before="0" w:after="283"/>
              <w:jc w:val="right"/>
              <w:rPr/>
            </w:pPr>
            <w:r>
              <w:rPr>
                <w:rStyle w:val="StrongEmphasis"/>
              </w:rPr>
              <w:t>3,000</w:t>
            </w:r>
          </w:p>
        </w:tc>
        <w:tc>
          <w:tcPr>
            <w:tcW w:w="1306" w:type="dxa"/>
            <w:tcBorders/>
            <w:vAlign w:val="center"/>
          </w:tcPr>
          <w:p>
            <w:pPr>
              <w:pStyle w:val="TableContents"/>
              <w:bidi w:val="0"/>
              <w:spacing w:before="0" w:after="283"/>
              <w:jc w:val="right"/>
              <w:rPr/>
            </w:pPr>
            <w:r>
              <w:rPr>
                <w:rStyle w:val="StrongEmphasis"/>
              </w:rPr>
              <w:t>(18,439,706)</w:t>
            </w:r>
          </w:p>
        </w:tc>
      </w:tr>
      <w:tr>
        <w:trPr/>
        <w:tc>
          <w:tcPr>
            <w:tcW w:w="1441" w:type="dxa"/>
            <w:tcBorders/>
            <w:vAlign w:val="center"/>
          </w:tcPr>
          <w:p>
            <w:pPr>
              <w:pStyle w:val="TableContents"/>
              <w:bidi w:val="0"/>
              <w:spacing w:before="0" w:after="283"/>
              <w:jc w:val="left"/>
              <w:rPr/>
            </w:pPr>
            <w:r>
              <w:rPr>
                <w:rStyle w:val="StrongEmphasis"/>
              </w:rPr>
              <w:t>Operating income/(loss) (non-GAAP)</w:t>
            </w:r>
          </w:p>
        </w:tc>
        <w:tc>
          <w:tcPr>
            <w:tcW w:w="1186" w:type="dxa"/>
            <w:tcBorders/>
            <w:vAlign w:val="center"/>
          </w:tcPr>
          <w:p>
            <w:pPr>
              <w:pStyle w:val="TableContents"/>
              <w:bidi w:val="0"/>
              <w:spacing w:before="0" w:after="283"/>
              <w:jc w:val="right"/>
              <w:rPr/>
            </w:pPr>
            <w:r>
              <w:rPr>
                <w:rStyle w:val="StrongEmphasis"/>
              </w:rPr>
              <w:t>2,125,558</w:t>
            </w:r>
          </w:p>
        </w:tc>
        <w:tc>
          <w:tcPr>
            <w:tcW w:w="1186" w:type="dxa"/>
            <w:tcBorders/>
            <w:vAlign w:val="center"/>
          </w:tcPr>
          <w:p>
            <w:pPr>
              <w:pStyle w:val="TableContents"/>
              <w:bidi w:val="0"/>
              <w:spacing w:before="0" w:after="283"/>
              <w:jc w:val="right"/>
              <w:rPr/>
            </w:pPr>
            <w:r>
              <w:rPr>
                <w:rStyle w:val="StrongEmphasis"/>
              </w:rPr>
              <w:t>245,828</w:t>
            </w:r>
          </w:p>
        </w:tc>
        <w:tc>
          <w:tcPr>
            <w:tcW w:w="1261" w:type="dxa"/>
            <w:tcBorders/>
            <w:vAlign w:val="center"/>
          </w:tcPr>
          <w:p>
            <w:pPr>
              <w:pStyle w:val="TableContents"/>
              <w:bidi w:val="0"/>
              <w:spacing w:before="0" w:after="283"/>
              <w:jc w:val="right"/>
              <w:rPr/>
            </w:pPr>
            <w:r>
              <w:rPr>
                <w:rStyle w:val="StrongEmphasis"/>
              </w:rPr>
              <w:t>(24,051,378)</w:t>
            </w:r>
          </w:p>
        </w:tc>
        <w:tc>
          <w:tcPr>
            <w:tcW w:w="721" w:type="dxa"/>
            <w:tcBorders/>
            <w:vAlign w:val="center"/>
          </w:tcPr>
          <w:p>
            <w:pPr>
              <w:pStyle w:val="TableContents"/>
              <w:bidi w:val="0"/>
              <w:spacing w:before="0" w:after="283"/>
              <w:jc w:val="right"/>
              <w:rPr/>
            </w:pPr>
            <w:r>
              <w:rPr>
                <w:rStyle w:val="StrongEmphasis"/>
              </w:rPr>
              <w:t>3,000</w:t>
            </w:r>
          </w:p>
        </w:tc>
        <w:tc>
          <w:tcPr>
            <w:tcW w:w="1261" w:type="dxa"/>
            <w:tcBorders/>
            <w:vAlign w:val="center"/>
          </w:tcPr>
          <w:p>
            <w:pPr>
              <w:pStyle w:val="TableContents"/>
              <w:bidi w:val="0"/>
              <w:spacing w:before="0" w:after="283"/>
              <w:jc w:val="right"/>
              <w:rPr/>
            </w:pPr>
            <w:r>
              <w:rPr>
                <w:rStyle w:val="StrongEmphasis"/>
              </w:rPr>
              <w:t>(23,802,550)</w:t>
            </w:r>
          </w:p>
        </w:tc>
        <w:tc>
          <w:tcPr>
            <w:tcW w:w="1186" w:type="dxa"/>
            <w:tcBorders/>
            <w:vAlign w:val="center"/>
          </w:tcPr>
          <w:p>
            <w:pPr>
              <w:pStyle w:val="TableContents"/>
              <w:bidi w:val="0"/>
              <w:spacing w:before="0" w:after="283"/>
              <w:jc w:val="right"/>
              <w:rPr/>
            </w:pPr>
            <w:r>
              <w:rPr>
                <w:rStyle w:val="StrongEmphasis"/>
              </w:rPr>
              <w:t>3,667,355</w:t>
            </w:r>
          </w:p>
        </w:tc>
        <w:tc>
          <w:tcPr>
            <w:tcW w:w="1186" w:type="dxa"/>
            <w:tcBorders/>
            <w:vAlign w:val="center"/>
          </w:tcPr>
          <w:p>
            <w:pPr>
              <w:pStyle w:val="TableContents"/>
              <w:bidi w:val="0"/>
              <w:spacing w:before="0" w:after="283"/>
              <w:jc w:val="right"/>
              <w:rPr/>
            </w:pPr>
            <w:r>
              <w:rPr>
                <w:rStyle w:val="StrongEmphasis"/>
              </w:rPr>
              <w:t>2,144,262</w:t>
            </w:r>
          </w:p>
        </w:tc>
        <w:tc>
          <w:tcPr>
            <w:tcW w:w="1261" w:type="dxa"/>
            <w:tcBorders/>
            <w:vAlign w:val="center"/>
          </w:tcPr>
          <w:p>
            <w:pPr>
              <w:pStyle w:val="TableContents"/>
              <w:bidi w:val="0"/>
              <w:spacing w:before="0" w:after="283"/>
              <w:jc w:val="right"/>
              <w:rPr/>
            </w:pPr>
            <w:r>
              <w:rPr>
                <w:rStyle w:val="StrongEmphasis"/>
              </w:rPr>
              <w:t>(14,744,287)</w:t>
            </w:r>
          </w:p>
        </w:tc>
        <w:tc>
          <w:tcPr>
            <w:tcW w:w="721" w:type="dxa"/>
            <w:tcBorders/>
            <w:vAlign w:val="center"/>
          </w:tcPr>
          <w:p>
            <w:pPr>
              <w:pStyle w:val="TableContents"/>
              <w:bidi w:val="0"/>
              <w:spacing w:before="0" w:after="283"/>
              <w:jc w:val="right"/>
              <w:rPr/>
            </w:pPr>
            <w:r>
              <w:rPr>
                <w:rStyle w:val="StrongEmphasis"/>
              </w:rPr>
              <w:t>3,000</w:t>
            </w:r>
          </w:p>
        </w:tc>
        <w:tc>
          <w:tcPr>
            <w:tcW w:w="1306" w:type="dxa"/>
            <w:tcBorders/>
            <w:vAlign w:val="center"/>
          </w:tcPr>
          <w:p>
            <w:pPr>
              <w:pStyle w:val="TableContents"/>
              <w:bidi w:val="0"/>
              <w:spacing w:before="0" w:after="283"/>
              <w:jc w:val="right"/>
              <w:rPr/>
            </w:pPr>
            <w:r>
              <w:rPr>
                <w:rStyle w:val="StrongEmphasis"/>
              </w:rPr>
              <w:t>(12,597,025)</w:t>
            </w:r>
          </w:p>
        </w:tc>
      </w:tr>
      <w:tr>
        <w:trPr/>
        <w:tc>
          <w:tcPr>
            <w:tcW w:w="1441" w:type="dxa"/>
            <w:tcBorders/>
            <w:vAlign w:val="center"/>
          </w:tcPr>
          <w:p>
            <w:pPr>
              <w:pStyle w:val="TableContents"/>
              <w:bidi w:val="0"/>
              <w:spacing w:before="0" w:after="283"/>
              <w:jc w:val="left"/>
              <w:rPr/>
            </w:pPr>
            <w:r>
              <w:rPr>
                <w:rStyle w:val="StrongEmphasis"/>
              </w:rPr>
              <w:t>Net income/(loss) attributable to Antalpha</w:t>
            </w:r>
          </w:p>
        </w:tc>
        <w:tc>
          <w:tcPr>
            <w:tcW w:w="1186" w:type="dxa"/>
            <w:tcBorders/>
            <w:vAlign w:val="center"/>
          </w:tcPr>
          <w:p>
            <w:pPr>
              <w:pStyle w:val="TableContents"/>
              <w:bidi w:val="0"/>
              <w:spacing w:before="0" w:after="283"/>
              <w:jc w:val="right"/>
              <w:rPr/>
            </w:pPr>
            <w:r>
              <w:rPr>
                <w:rStyle w:val="StrongEmphasis"/>
              </w:rPr>
              <w:t>674,551</w:t>
            </w:r>
          </w:p>
        </w:tc>
        <w:tc>
          <w:tcPr>
            <w:tcW w:w="1186" w:type="dxa"/>
            <w:tcBorders/>
            <w:vAlign w:val="center"/>
          </w:tcPr>
          <w:p>
            <w:pPr>
              <w:pStyle w:val="TableContents"/>
              <w:bidi w:val="0"/>
              <w:spacing w:before="0" w:after="283"/>
              <w:jc w:val="right"/>
              <w:rPr/>
            </w:pPr>
            <w:r>
              <w:rPr>
                <w:rStyle w:val="StrongEmphasis"/>
              </w:rPr>
              <w:t>(4,583,903)</w:t>
            </w:r>
          </w:p>
        </w:tc>
        <w:tc>
          <w:tcPr>
            <w:tcW w:w="1261" w:type="dxa"/>
            <w:tcBorders/>
            <w:vAlign w:val="center"/>
          </w:tcPr>
          <w:p>
            <w:pPr>
              <w:pStyle w:val="TableContents"/>
              <w:bidi w:val="0"/>
              <w:spacing w:before="0" w:after="283"/>
              <w:jc w:val="right"/>
              <w:rPr/>
            </w:pPr>
            <w:r>
              <w:rPr>
                <w:rStyle w:val="StrongEmphasis"/>
              </w:rPr>
              <w:t>(7,957,769)</w:t>
            </w:r>
          </w:p>
        </w:tc>
        <w:tc>
          <w:tcPr>
            <w:tcW w:w="721" w:type="dxa"/>
            <w:tcBorders/>
            <w:vAlign w:val="center"/>
          </w:tcPr>
          <w:p>
            <w:pPr>
              <w:pStyle w:val="TableContents"/>
              <w:bidi w:val="0"/>
              <w:spacing w:before="0" w:after="283"/>
              <w:jc w:val="right"/>
              <w:rPr/>
            </w:pPr>
            <w:r>
              <w:rPr>
                <w:rStyle w:val="StrongEmphasis"/>
              </w:rPr>
              <w:t>—</w:t>
            </w:r>
          </w:p>
        </w:tc>
        <w:tc>
          <w:tcPr>
            <w:tcW w:w="1261" w:type="dxa"/>
            <w:tcBorders/>
            <w:vAlign w:val="center"/>
          </w:tcPr>
          <w:p>
            <w:pPr>
              <w:pStyle w:val="TableContents"/>
              <w:bidi w:val="0"/>
              <w:spacing w:before="0" w:after="283"/>
              <w:jc w:val="right"/>
              <w:rPr/>
            </w:pPr>
            <w:r>
              <w:rPr>
                <w:rStyle w:val="StrongEmphasis"/>
              </w:rPr>
              <w:t>(12,541,672)</w:t>
            </w:r>
          </w:p>
        </w:tc>
        <w:tc>
          <w:tcPr>
            <w:tcW w:w="1186" w:type="dxa"/>
            <w:tcBorders/>
            <w:vAlign w:val="center"/>
          </w:tcPr>
          <w:p>
            <w:pPr>
              <w:pStyle w:val="TableContents"/>
              <w:bidi w:val="0"/>
              <w:spacing w:before="0" w:after="283"/>
              <w:jc w:val="right"/>
              <w:rPr/>
            </w:pPr>
            <w:r>
              <w:rPr>
                <w:rStyle w:val="StrongEmphasis"/>
              </w:rPr>
              <w:t>712,027</w:t>
            </w:r>
          </w:p>
        </w:tc>
        <w:tc>
          <w:tcPr>
            <w:tcW w:w="1186" w:type="dxa"/>
            <w:tcBorders/>
            <w:vAlign w:val="center"/>
          </w:tcPr>
          <w:p>
            <w:pPr>
              <w:pStyle w:val="TableContents"/>
              <w:bidi w:val="0"/>
              <w:spacing w:before="0" w:after="283"/>
              <w:jc w:val="right"/>
              <w:rPr/>
            </w:pPr>
            <w:r>
              <w:rPr>
                <w:rStyle w:val="StrongEmphasis"/>
              </w:rPr>
              <w:t>(4,415,873)</w:t>
            </w:r>
          </w:p>
        </w:tc>
        <w:tc>
          <w:tcPr>
            <w:tcW w:w="1261" w:type="dxa"/>
            <w:tcBorders/>
            <w:vAlign w:val="center"/>
          </w:tcPr>
          <w:p>
            <w:pPr>
              <w:pStyle w:val="TableContents"/>
              <w:bidi w:val="0"/>
              <w:spacing w:before="0" w:after="283"/>
              <w:jc w:val="right"/>
              <w:rPr/>
            </w:pPr>
            <w:r>
              <w:rPr>
                <w:rStyle w:val="StrongEmphasis"/>
              </w:rPr>
              <w:t>(5,435,624)</w:t>
            </w:r>
          </w:p>
        </w:tc>
        <w:tc>
          <w:tcPr>
            <w:tcW w:w="721" w:type="dxa"/>
            <w:tcBorders/>
            <w:vAlign w:val="center"/>
          </w:tcPr>
          <w:p>
            <w:pPr>
              <w:pStyle w:val="TableContents"/>
              <w:bidi w:val="0"/>
              <w:spacing w:before="0" w:after="283"/>
              <w:jc w:val="right"/>
              <w:rPr/>
            </w:pPr>
            <w:r>
              <w:rPr>
                <w:rStyle w:val="StrongEmphasis"/>
              </w:rPr>
              <w:t>—</w:t>
            </w:r>
          </w:p>
        </w:tc>
        <w:tc>
          <w:tcPr>
            <w:tcW w:w="1306" w:type="dxa"/>
            <w:tcBorders/>
            <w:vAlign w:val="center"/>
          </w:tcPr>
          <w:p>
            <w:pPr>
              <w:pStyle w:val="TableContents"/>
              <w:bidi w:val="0"/>
              <w:spacing w:before="0" w:after="283"/>
              <w:jc w:val="right"/>
              <w:rPr/>
            </w:pPr>
            <w:r>
              <w:rPr>
                <w:rStyle w:val="StrongEmphasis"/>
              </w:rPr>
              <w:t>(9,851,497)</w:t>
            </w:r>
          </w:p>
        </w:tc>
      </w:tr>
      <w:tr>
        <w:trPr/>
        <w:tc>
          <w:tcPr>
            <w:tcW w:w="1441"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 </w:t>
            </w:r>
          </w:p>
        </w:tc>
        <w:tc>
          <w:tcPr>
            <w:tcW w:w="1261" w:type="dxa"/>
            <w:tcBorders/>
            <w:vAlign w:val="center"/>
          </w:tcPr>
          <w:p>
            <w:pPr>
              <w:pStyle w:val="TableContents"/>
              <w:bidi w:val="0"/>
              <w:spacing w:before="0" w:after="283"/>
              <w:jc w:val="right"/>
              <w:rPr/>
            </w:pPr>
            <w:r>
              <w:rPr/>
              <w:t> </w:t>
            </w:r>
          </w:p>
        </w:tc>
        <w:tc>
          <w:tcPr>
            <w:tcW w:w="721" w:type="dxa"/>
            <w:tcBorders/>
            <w:vAlign w:val="center"/>
          </w:tcPr>
          <w:p>
            <w:pPr>
              <w:pStyle w:val="TableContents"/>
              <w:bidi w:val="0"/>
              <w:spacing w:before="0" w:after="283"/>
              <w:jc w:val="right"/>
              <w:rPr/>
            </w:pPr>
            <w:r>
              <w:rPr/>
              <w:t> </w:t>
            </w:r>
          </w:p>
        </w:tc>
        <w:tc>
          <w:tcPr>
            <w:tcW w:w="1261"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 </w:t>
            </w:r>
          </w:p>
        </w:tc>
        <w:tc>
          <w:tcPr>
            <w:tcW w:w="1261" w:type="dxa"/>
            <w:tcBorders/>
            <w:vAlign w:val="center"/>
          </w:tcPr>
          <w:p>
            <w:pPr>
              <w:pStyle w:val="TableContents"/>
              <w:bidi w:val="0"/>
              <w:spacing w:before="0" w:after="283"/>
              <w:jc w:val="left"/>
              <w:rPr/>
            </w:pPr>
            <w:r>
              <w:rPr/>
              <w:t> </w:t>
            </w:r>
          </w:p>
        </w:tc>
        <w:tc>
          <w:tcPr>
            <w:tcW w:w="721"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 </w:t>
            </w:r>
          </w:p>
        </w:tc>
      </w:tr>
      <w:tr>
        <w:trPr/>
        <w:tc>
          <w:tcPr>
            <w:tcW w:w="1441" w:type="dxa"/>
            <w:tcBorders/>
            <w:vAlign w:val="center"/>
          </w:tcPr>
          <w:p>
            <w:pPr>
              <w:pStyle w:val="TableContents"/>
              <w:bidi w:val="0"/>
              <w:spacing w:before="0" w:after="283"/>
              <w:jc w:val="left"/>
              <w:rPr/>
            </w:pPr>
            <w:r>
              <w:rPr>
                <w:rStyle w:val="StrongEmphasis"/>
              </w:rPr>
              <w:t>Adjusted EBITDA</w:t>
            </w:r>
          </w:p>
        </w:tc>
        <w:tc>
          <w:tcPr>
            <w:tcW w:w="1186" w:type="dxa"/>
            <w:tcBorders/>
            <w:vAlign w:val="center"/>
          </w:tcPr>
          <w:p>
            <w:pPr>
              <w:pStyle w:val="TableContents"/>
              <w:bidi w:val="0"/>
              <w:spacing w:before="0" w:after="283"/>
              <w:jc w:val="right"/>
              <w:rPr/>
            </w:pPr>
            <w:r>
              <w:rPr>
                <w:rStyle w:val="StrongEmphasis"/>
              </w:rPr>
              <w:t>3,801,826</w:t>
            </w:r>
          </w:p>
        </w:tc>
        <w:tc>
          <w:tcPr>
            <w:tcW w:w="1186" w:type="dxa"/>
            <w:tcBorders/>
            <w:vAlign w:val="center"/>
          </w:tcPr>
          <w:p>
            <w:pPr>
              <w:pStyle w:val="TableContents"/>
              <w:bidi w:val="0"/>
              <w:spacing w:before="0" w:after="283"/>
              <w:jc w:val="right"/>
              <w:rPr/>
            </w:pPr>
            <w:r>
              <w:rPr>
                <w:rStyle w:val="StrongEmphasis"/>
              </w:rPr>
              <w:t>(3,328,726)</w:t>
            </w:r>
          </w:p>
        </w:tc>
        <w:tc>
          <w:tcPr>
            <w:tcW w:w="1261" w:type="dxa"/>
            <w:tcBorders/>
            <w:vAlign w:val="center"/>
          </w:tcPr>
          <w:p>
            <w:pPr>
              <w:pStyle w:val="TableContents"/>
              <w:bidi w:val="0"/>
              <w:spacing w:before="0" w:after="283"/>
              <w:jc w:val="right"/>
              <w:rPr/>
            </w:pPr>
            <w:r>
              <w:rPr>
                <w:rStyle w:val="StrongEmphasis"/>
              </w:rPr>
              <w:t>(24,094,980)</w:t>
            </w:r>
          </w:p>
        </w:tc>
        <w:tc>
          <w:tcPr>
            <w:tcW w:w="721" w:type="dxa"/>
            <w:tcBorders/>
            <w:vAlign w:val="center"/>
          </w:tcPr>
          <w:p>
            <w:pPr>
              <w:pStyle w:val="TableContents"/>
              <w:bidi w:val="0"/>
              <w:spacing w:before="0" w:after="283"/>
              <w:jc w:val="right"/>
              <w:rPr/>
            </w:pPr>
            <w:r>
              <w:rPr>
                <w:rStyle w:val="StrongEmphasis"/>
              </w:rPr>
              <w:t>—</w:t>
            </w:r>
          </w:p>
        </w:tc>
        <w:tc>
          <w:tcPr>
            <w:tcW w:w="1261" w:type="dxa"/>
            <w:tcBorders/>
            <w:vAlign w:val="center"/>
          </w:tcPr>
          <w:p>
            <w:pPr>
              <w:pStyle w:val="TableContents"/>
              <w:bidi w:val="0"/>
              <w:spacing w:before="0" w:after="283"/>
              <w:jc w:val="right"/>
              <w:rPr/>
            </w:pPr>
            <w:r>
              <w:rPr>
                <w:rStyle w:val="StrongEmphasis"/>
              </w:rPr>
              <w:t>(27,423,706)</w:t>
            </w:r>
          </w:p>
        </w:tc>
        <w:tc>
          <w:tcPr>
            <w:tcW w:w="1186" w:type="dxa"/>
            <w:tcBorders/>
            <w:vAlign w:val="center"/>
          </w:tcPr>
          <w:p>
            <w:pPr>
              <w:pStyle w:val="TableContents"/>
              <w:bidi w:val="0"/>
              <w:spacing w:before="0" w:after="283"/>
              <w:jc w:val="right"/>
              <w:rPr/>
            </w:pPr>
            <w:r>
              <w:rPr>
                <w:rStyle w:val="StrongEmphasis"/>
              </w:rPr>
              <w:t>6,292,057</w:t>
            </w:r>
          </w:p>
        </w:tc>
        <w:tc>
          <w:tcPr>
            <w:tcW w:w="1186" w:type="dxa"/>
            <w:tcBorders/>
            <w:vAlign w:val="center"/>
          </w:tcPr>
          <w:p>
            <w:pPr>
              <w:pStyle w:val="TableContents"/>
              <w:bidi w:val="0"/>
              <w:spacing w:before="0" w:after="283"/>
              <w:jc w:val="right"/>
              <w:rPr/>
            </w:pPr>
            <w:r>
              <w:rPr>
                <w:rStyle w:val="StrongEmphasis"/>
              </w:rPr>
              <w:t>1,072,906</w:t>
            </w:r>
          </w:p>
        </w:tc>
        <w:tc>
          <w:tcPr>
            <w:tcW w:w="1261" w:type="dxa"/>
            <w:tcBorders/>
            <w:vAlign w:val="center"/>
          </w:tcPr>
          <w:p>
            <w:pPr>
              <w:pStyle w:val="TableContents"/>
              <w:bidi w:val="0"/>
              <w:spacing w:before="0" w:after="283"/>
              <w:jc w:val="right"/>
              <w:rPr/>
            </w:pPr>
            <w:r>
              <w:rPr>
                <w:rStyle w:val="StrongEmphasis"/>
              </w:rPr>
              <w:t>(15,175,531)</w:t>
            </w:r>
          </w:p>
        </w:tc>
        <w:tc>
          <w:tcPr>
            <w:tcW w:w="721" w:type="dxa"/>
            <w:tcBorders/>
            <w:vAlign w:val="center"/>
          </w:tcPr>
          <w:p>
            <w:pPr>
              <w:pStyle w:val="TableContents"/>
              <w:bidi w:val="0"/>
              <w:spacing w:before="0" w:after="283"/>
              <w:jc w:val="right"/>
              <w:rPr/>
            </w:pPr>
            <w:r>
              <w:rPr>
                <w:rStyle w:val="StrongEmphasis"/>
              </w:rPr>
              <w:t>—</w:t>
            </w:r>
          </w:p>
        </w:tc>
        <w:tc>
          <w:tcPr>
            <w:tcW w:w="1306" w:type="dxa"/>
            <w:tcBorders/>
            <w:vAlign w:val="center"/>
          </w:tcPr>
          <w:p>
            <w:pPr>
              <w:pStyle w:val="TableContents"/>
              <w:bidi w:val="0"/>
              <w:spacing w:before="0" w:after="283"/>
              <w:jc w:val="right"/>
              <w:rPr/>
            </w:pPr>
            <w:r>
              <w:rPr>
                <w:rStyle w:val="StrongEmphasis"/>
              </w:rPr>
              <w:t>(14,102,625)</w:t>
            </w:r>
          </w:p>
        </w:tc>
      </w:tr>
      <w:tr>
        <w:trPr/>
        <w:tc>
          <w:tcPr>
            <w:tcW w:w="1441" w:type="dxa"/>
            <w:tcBorders/>
            <w:vAlign w:val="center"/>
          </w:tcPr>
          <w:p>
            <w:pPr>
              <w:pStyle w:val="TableContents"/>
              <w:bidi w:val="0"/>
              <w:spacing w:before="0" w:after="283"/>
              <w:jc w:val="left"/>
              <w:rPr/>
            </w:pPr>
            <w:r>
              <w:rPr>
                <w:rStyle w:val="StrongEmphasis"/>
              </w:rPr>
              <w:t>Adjusted EBITDA margin</w:t>
            </w:r>
          </w:p>
        </w:tc>
        <w:tc>
          <w:tcPr>
            <w:tcW w:w="1186" w:type="dxa"/>
            <w:tcBorders/>
            <w:vAlign w:val="center"/>
          </w:tcPr>
          <w:p>
            <w:pPr>
              <w:pStyle w:val="TableContents"/>
              <w:bidi w:val="0"/>
              <w:spacing w:before="0" w:after="283"/>
              <w:jc w:val="right"/>
              <w:rPr/>
            </w:pPr>
            <w:r>
              <w:rPr>
                <w:rStyle w:val="StrongEmphasis"/>
              </w:rPr>
              <w:t>22%</w:t>
            </w:r>
          </w:p>
        </w:tc>
        <w:tc>
          <w:tcPr>
            <w:tcW w:w="1186" w:type="dxa"/>
            <w:tcBorders/>
            <w:vAlign w:val="center"/>
          </w:tcPr>
          <w:p>
            <w:pPr>
              <w:pStyle w:val="TableContents"/>
              <w:bidi w:val="0"/>
              <w:spacing w:before="0" w:after="283"/>
              <w:jc w:val="right"/>
              <w:rPr/>
            </w:pPr>
            <w:r>
              <w:rPr>
                <w:rStyle w:val="StrongEmphasis"/>
              </w:rPr>
              <w:t>(27%)</w:t>
            </w:r>
          </w:p>
        </w:tc>
        <w:tc>
          <w:tcPr>
            <w:tcW w:w="1261" w:type="dxa"/>
            <w:tcBorders/>
            <w:vAlign w:val="center"/>
          </w:tcPr>
          <w:p>
            <w:pPr>
              <w:pStyle w:val="TableContents"/>
              <w:bidi w:val="0"/>
              <w:spacing w:before="0" w:after="283"/>
              <w:jc w:val="right"/>
              <w:rPr/>
            </w:pPr>
            <w:r>
              <w:rPr>
                <w:rStyle w:val="StrongEmphasis"/>
              </w:rPr>
              <w:t>—</w:t>
            </w:r>
          </w:p>
        </w:tc>
        <w:tc>
          <w:tcPr>
            <w:tcW w:w="721" w:type="dxa"/>
            <w:tcBorders/>
            <w:vAlign w:val="center"/>
          </w:tcPr>
          <w:p>
            <w:pPr>
              <w:pStyle w:val="TableContents"/>
              <w:bidi w:val="0"/>
              <w:spacing w:before="0" w:after="283"/>
              <w:jc w:val="right"/>
              <w:rPr/>
            </w:pPr>
            <w:r>
              <w:rPr>
                <w:rStyle w:val="StrongEmphasis"/>
              </w:rPr>
              <w:t>—</w:t>
            </w:r>
          </w:p>
        </w:tc>
        <w:tc>
          <w:tcPr>
            <w:tcW w:w="1261" w:type="dxa"/>
            <w:tcBorders/>
            <w:vAlign w:val="center"/>
          </w:tcPr>
          <w:p>
            <w:pPr>
              <w:pStyle w:val="TableContents"/>
              <w:bidi w:val="0"/>
              <w:spacing w:before="0" w:after="283"/>
              <w:jc w:val="right"/>
              <w:rPr/>
            </w:pPr>
            <w:r>
              <w:rPr>
                <w:rStyle w:val="StrongEmphasis"/>
              </w:rPr>
              <w:t>(225%)</w:t>
            </w:r>
          </w:p>
        </w:tc>
        <w:tc>
          <w:tcPr>
            <w:tcW w:w="1186" w:type="dxa"/>
            <w:tcBorders/>
            <w:vAlign w:val="center"/>
          </w:tcPr>
          <w:p>
            <w:pPr>
              <w:pStyle w:val="TableContents"/>
              <w:bidi w:val="0"/>
              <w:spacing w:before="0" w:after="283"/>
              <w:jc w:val="right"/>
              <w:rPr/>
            </w:pPr>
            <w:r>
              <w:rPr>
                <w:rStyle w:val="StrongEmphasis"/>
              </w:rPr>
              <w:t>21%</w:t>
            </w:r>
          </w:p>
        </w:tc>
        <w:tc>
          <w:tcPr>
            <w:tcW w:w="1186" w:type="dxa"/>
            <w:tcBorders/>
            <w:vAlign w:val="center"/>
          </w:tcPr>
          <w:p>
            <w:pPr>
              <w:pStyle w:val="TableContents"/>
              <w:bidi w:val="0"/>
              <w:spacing w:before="0" w:after="283"/>
              <w:jc w:val="right"/>
              <w:rPr/>
            </w:pPr>
            <w:r>
              <w:rPr>
                <w:rStyle w:val="StrongEmphasis"/>
              </w:rPr>
              <w:t>3%</w:t>
            </w:r>
          </w:p>
        </w:tc>
        <w:tc>
          <w:tcPr>
            <w:tcW w:w="1261" w:type="dxa"/>
            <w:tcBorders/>
            <w:vAlign w:val="center"/>
          </w:tcPr>
          <w:p>
            <w:pPr>
              <w:pStyle w:val="TableContents"/>
              <w:bidi w:val="0"/>
              <w:spacing w:before="0" w:after="283"/>
              <w:jc w:val="right"/>
              <w:rPr/>
            </w:pPr>
            <w:r>
              <w:rPr>
                <w:rStyle w:val="StrongEmphasis"/>
              </w:rPr>
              <w:t>—</w:t>
            </w:r>
          </w:p>
        </w:tc>
        <w:tc>
          <w:tcPr>
            <w:tcW w:w="721" w:type="dxa"/>
            <w:tcBorders/>
            <w:vAlign w:val="center"/>
          </w:tcPr>
          <w:p>
            <w:pPr>
              <w:pStyle w:val="TableContents"/>
              <w:bidi w:val="0"/>
              <w:spacing w:before="0" w:after="283"/>
              <w:jc w:val="right"/>
              <w:rPr/>
            </w:pPr>
            <w:r>
              <w:rPr>
                <w:rStyle w:val="StrongEmphasis"/>
              </w:rPr>
              <w:t>—</w:t>
            </w:r>
          </w:p>
        </w:tc>
        <w:tc>
          <w:tcPr>
            <w:tcW w:w="1306" w:type="dxa"/>
            <w:tcBorders/>
            <w:vAlign w:val="center"/>
          </w:tcPr>
          <w:p>
            <w:pPr>
              <w:pStyle w:val="TableContents"/>
              <w:bidi w:val="0"/>
              <w:spacing w:before="0" w:after="283"/>
              <w:jc w:val="right"/>
              <w:rPr/>
            </w:pPr>
            <w:r>
              <w:rPr>
                <w:rStyle w:val="StrongEmphasis"/>
              </w:rPr>
              <w:t>(43%)</w:t>
            </w:r>
          </w:p>
        </w:tc>
      </w:tr>
    </w:tbl>
    <w:p>
      <w:pPr>
        <w:pStyle w:val="TextBody"/>
        <w:bidi w:val="0"/>
        <w:jc w:val="center"/>
        <w:rPr/>
      </w:pPr>
      <w:r>
        <w:rPr/>
      </w:r>
    </w:p>
    <w:tbl>
      <w:tblPr>
        <w:tblW w:w="12551" w:type="dxa"/>
        <w:jc w:val="left"/>
        <w:tblInd w:w="0" w:type="dxa"/>
        <w:tblLayout w:type="fixed"/>
        <w:tblCellMar>
          <w:top w:w="28" w:type="dxa"/>
          <w:left w:w="28" w:type="dxa"/>
          <w:bottom w:w="28" w:type="dxa"/>
          <w:right w:w="28" w:type="dxa"/>
        </w:tblCellMar>
      </w:tblPr>
      <w:tblGrid>
        <w:gridCol w:w="1426"/>
        <w:gridCol w:w="1186"/>
        <w:gridCol w:w="1186"/>
        <w:gridCol w:w="1261"/>
        <w:gridCol w:w="646"/>
        <w:gridCol w:w="1261"/>
        <w:gridCol w:w="1186"/>
        <w:gridCol w:w="1186"/>
        <w:gridCol w:w="1261"/>
        <w:gridCol w:w="646"/>
        <w:gridCol w:w="1306"/>
      </w:tblGrid>
      <w:tr>
        <w:trPr/>
        <w:tc>
          <w:tcPr>
            <w:tcW w:w="12551" w:type="dxa"/>
            <w:gridSpan w:val="11"/>
            <w:tcBorders/>
            <w:vAlign w:val="center"/>
          </w:tcPr>
          <w:p>
            <w:pPr>
              <w:pStyle w:val="TableContents"/>
              <w:bidi w:val="0"/>
              <w:spacing w:before="0" w:after="283"/>
              <w:jc w:val="center"/>
              <w:rPr/>
            </w:pPr>
            <w:r>
              <w:rPr>
                <w:rStyle w:val="StrongEmphasis"/>
              </w:rPr>
              <w:t>Reconciliations of non-GAAP financial measures to the nearest comparable GAAP measures</w:t>
              <w:br/>
            </w:r>
            <w:r>
              <w:rPr/>
              <w:t>(in USD, unaudited)</w:t>
            </w:r>
          </w:p>
        </w:tc>
      </w:tr>
      <w:tr>
        <w:trPr/>
        <w:tc>
          <w:tcPr>
            <w:tcW w:w="1426" w:type="dxa"/>
            <w:vMerge w:val="restart"/>
            <w:tcBorders/>
            <w:vAlign w:val="center"/>
          </w:tcPr>
          <w:p>
            <w:pPr>
              <w:pStyle w:val="TableContents"/>
              <w:bidi w:val="0"/>
              <w:spacing w:before="0" w:after="283"/>
              <w:jc w:val="left"/>
              <w:rPr/>
            </w:pPr>
            <w:r>
              <w:rPr/>
              <w:t> </w:t>
            </w:r>
          </w:p>
        </w:tc>
        <w:tc>
          <w:tcPr>
            <w:tcW w:w="5540" w:type="dxa"/>
            <w:gridSpan w:val="5"/>
            <w:tcBorders/>
            <w:vAlign w:val="center"/>
          </w:tcPr>
          <w:p>
            <w:pPr>
              <w:pStyle w:val="TableContents"/>
              <w:bidi w:val="0"/>
              <w:spacing w:before="0" w:after="283"/>
              <w:jc w:val="center"/>
              <w:rPr/>
            </w:pPr>
            <w:r>
              <w:rPr>
                <w:rStyle w:val="StrongEmphasis"/>
              </w:rPr>
              <w:t>Three months ended June 30,</w:t>
            </w:r>
          </w:p>
        </w:tc>
        <w:tc>
          <w:tcPr>
            <w:tcW w:w="5585" w:type="dxa"/>
            <w:gridSpan w:val="5"/>
            <w:tcBorders/>
            <w:vAlign w:val="center"/>
          </w:tcPr>
          <w:p>
            <w:pPr>
              <w:pStyle w:val="TableContents"/>
              <w:bidi w:val="0"/>
              <w:spacing w:before="0" w:after="283"/>
              <w:jc w:val="center"/>
              <w:rPr/>
            </w:pPr>
            <w:r>
              <w:rPr>
                <w:rStyle w:val="StrongEmphasis"/>
              </w:rPr>
              <w:t>Six months ended June 30,</w:t>
            </w:r>
          </w:p>
        </w:tc>
      </w:tr>
      <w:tr>
        <w:trPr/>
        <w:tc>
          <w:tcPr>
            <w:tcW w:w="1426" w:type="dxa"/>
            <w:vMerge w:val="continue"/>
            <w:tcBorders/>
            <w:vAlign w:val="center"/>
          </w:tcPr>
          <w:p>
            <w:pPr>
              <w:pStyle w:val="Normal"/>
              <w:bidi w:val="0"/>
              <w:jc w:val="left"/>
              <w:rPr/>
            </w:pPr>
            <w:r>
              <w:rPr/>
            </w:r>
          </w:p>
        </w:tc>
        <w:tc>
          <w:tcPr>
            <w:tcW w:w="1186" w:type="dxa"/>
            <w:tcBorders/>
            <w:vAlign w:val="center"/>
          </w:tcPr>
          <w:p>
            <w:pPr>
              <w:pStyle w:val="TableContents"/>
              <w:bidi w:val="0"/>
              <w:spacing w:before="0" w:after="283"/>
              <w:jc w:val="center"/>
              <w:rPr/>
            </w:pPr>
            <w:r>
              <w:rPr>
                <w:rStyle w:val="StrongEmphasis"/>
              </w:rPr>
              <w:t>2025</w:t>
            </w:r>
          </w:p>
        </w:tc>
        <w:tc>
          <w:tcPr>
            <w:tcW w:w="4354" w:type="dxa"/>
            <w:gridSpan w:val="4"/>
            <w:tcBorders/>
            <w:vAlign w:val="center"/>
          </w:tcPr>
          <w:p>
            <w:pPr>
              <w:pStyle w:val="TableContents"/>
              <w:bidi w:val="0"/>
              <w:spacing w:before="0" w:after="283"/>
              <w:jc w:val="center"/>
              <w:rPr/>
            </w:pPr>
            <w:r>
              <w:rPr>
                <w:rStyle w:val="StrongEmphasis"/>
              </w:rPr>
              <w:t>2026</w:t>
            </w:r>
          </w:p>
        </w:tc>
        <w:tc>
          <w:tcPr>
            <w:tcW w:w="1186" w:type="dxa"/>
            <w:tcBorders/>
            <w:vAlign w:val="center"/>
          </w:tcPr>
          <w:p>
            <w:pPr>
              <w:pStyle w:val="TableContents"/>
              <w:bidi w:val="0"/>
              <w:spacing w:before="0" w:after="283"/>
              <w:jc w:val="center"/>
              <w:rPr/>
            </w:pPr>
            <w:r>
              <w:rPr>
                <w:rStyle w:val="StrongEmphasis"/>
              </w:rPr>
              <w:t>2025</w:t>
            </w:r>
          </w:p>
        </w:tc>
        <w:tc>
          <w:tcPr>
            <w:tcW w:w="4399" w:type="dxa"/>
            <w:gridSpan w:val="4"/>
            <w:tcBorders/>
            <w:vAlign w:val="center"/>
          </w:tcPr>
          <w:p>
            <w:pPr>
              <w:pStyle w:val="TableContents"/>
              <w:bidi w:val="0"/>
              <w:spacing w:before="0" w:after="283"/>
              <w:jc w:val="center"/>
              <w:rPr/>
            </w:pPr>
            <w:r>
              <w:rPr>
                <w:rStyle w:val="StrongEmphasis"/>
              </w:rPr>
              <w:t>2026</w:t>
            </w:r>
          </w:p>
        </w:tc>
      </w:tr>
      <w:tr>
        <w:trPr/>
        <w:tc>
          <w:tcPr>
            <w:tcW w:w="142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center"/>
              <w:rPr/>
            </w:pPr>
            <w:r>
              <w:rPr>
                <w:rStyle w:val="StrongEmphasis"/>
              </w:rPr>
              <w:t>Antalpha</w:t>
            </w:r>
          </w:p>
        </w:tc>
        <w:tc>
          <w:tcPr>
            <w:tcW w:w="1186" w:type="dxa"/>
            <w:tcBorders/>
            <w:vAlign w:val="center"/>
          </w:tcPr>
          <w:p>
            <w:pPr>
              <w:pStyle w:val="TableContents"/>
              <w:bidi w:val="0"/>
              <w:spacing w:before="0" w:after="283"/>
              <w:jc w:val="center"/>
              <w:rPr/>
            </w:pPr>
            <w:r>
              <w:rPr>
                <w:rStyle w:val="StrongEmphasis"/>
              </w:rPr>
              <w:t>Antalpha</w:t>
            </w:r>
          </w:p>
        </w:tc>
        <w:tc>
          <w:tcPr>
            <w:tcW w:w="1261" w:type="dxa"/>
            <w:tcBorders/>
            <w:vAlign w:val="center"/>
          </w:tcPr>
          <w:p>
            <w:pPr>
              <w:pStyle w:val="TableContents"/>
              <w:bidi w:val="0"/>
              <w:spacing w:before="0" w:after="283"/>
              <w:jc w:val="center"/>
              <w:rPr/>
            </w:pPr>
            <w:r>
              <w:rPr>
                <w:rStyle w:val="StrongEmphasis"/>
              </w:rPr>
              <w:t>AURE</w:t>
            </w:r>
          </w:p>
        </w:tc>
        <w:tc>
          <w:tcPr>
            <w:tcW w:w="646" w:type="dxa"/>
            <w:tcBorders/>
            <w:vAlign w:val="center"/>
          </w:tcPr>
          <w:p>
            <w:pPr>
              <w:pStyle w:val="TableContents"/>
              <w:bidi w:val="0"/>
              <w:spacing w:before="0" w:after="283"/>
              <w:jc w:val="center"/>
              <w:rPr/>
            </w:pPr>
            <w:r>
              <w:rPr>
                <w:rStyle w:val="StrongEmphasis"/>
              </w:rPr>
              <w:t>Adj</w:t>
            </w:r>
          </w:p>
        </w:tc>
        <w:tc>
          <w:tcPr>
            <w:tcW w:w="1261" w:type="dxa"/>
            <w:tcBorders/>
            <w:vAlign w:val="center"/>
          </w:tcPr>
          <w:p>
            <w:pPr>
              <w:pStyle w:val="TableContents"/>
              <w:bidi w:val="0"/>
              <w:spacing w:before="0" w:after="283"/>
              <w:jc w:val="center"/>
              <w:rPr/>
            </w:pPr>
            <w:r>
              <w:rPr>
                <w:rStyle w:val="StrongEmphasis"/>
              </w:rPr>
              <w:t>AA Group</w:t>
            </w:r>
          </w:p>
        </w:tc>
        <w:tc>
          <w:tcPr>
            <w:tcW w:w="1186" w:type="dxa"/>
            <w:tcBorders/>
            <w:vAlign w:val="center"/>
          </w:tcPr>
          <w:p>
            <w:pPr>
              <w:pStyle w:val="TableContents"/>
              <w:bidi w:val="0"/>
              <w:spacing w:before="0" w:after="283"/>
              <w:jc w:val="center"/>
              <w:rPr/>
            </w:pPr>
            <w:r>
              <w:rPr>
                <w:rStyle w:val="StrongEmphasis"/>
              </w:rPr>
              <w:t>Antalpha</w:t>
            </w:r>
          </w:p>
        </w:tc>
        <w:tc>
          <w:tcPr>
            <w:tcW w:w="1186" w:type="dxa"/>
            <w:tcBorders/>
            <w:vAlign w:val="center"/>
          </w:tcPr>
          <w:p>
            <w:pPr>
              <w:pStyle w:val="TableContents"/>
              <w:bidi w:val="0"/>
              <w:spacing w:before="0" w:after="283"/>
              <w:jc w:val="center"/>
              <w:rPr/>
            </w:pPr>
            <w:r>
              <w:rPr>
                <w:rStyle w:val="StrongEmphasis"/>
              </w:rPr>
              <w:t>Antalpha</w:t>
            </w:r>
          </w:p>
        </w:tc>
        <w:tc>
          <w:tcPr>
            <w:tcW w:w="1261" w:type="dxa"/>
            <w:tcBorders/>
            <w:vAlign w:val="center"/>
          </w:tcPr>
          <w:p>
            <w:pPr>
              <w:pStyle w:val="TableContents"/>
              <w:bidi w:val="0"/>
              <w:spacing w:before="0" w:after="283"/>
              <w:jc w:val="center"/>
              <w:rPr/>
            </w:pPr>
            <w:r>
              <w:rPr>
                <w:rStyle w:val="StrongEmphasis"/>
              </w:rPr>
              <w:t>AURE</w:t>
            </w:r>
          </w:p>
        </w:tc>
        <w:tc>
          <w:tcPr>
            <w:tcW w:w="646" w:type="dxa"/>
            <w:tcBorders/>
            <w:vAlign w:val="center"/>
          </w:tcPr>
          <w:p>
            <w:pPr>
              <w:pStyle w:val="TableContents"/>
              <w:bidi w:val="0"/>
              <w:spacing w:before="0" w:after="283"/>
              <w:jc w:val="center"/>
              <w:rPr/>
            </w:pPr>
            <w:r>
              <w:rPr>
                <w:rStyle w:val="StrongEmphasis"/>
              </w:rPr>
              <w:t>Adj</w:t>
            </w:r>
          </w:p>
        </w:tc>
        <w:tc>
          <w:tcPr>
            <w:tcW w:w="1306" w:type="dxa"/>
            <w:tcBorders/>
            <w:vAlign w:val="center"/>
          </w:tcPr>
          <w:p>
            <w:pPr>
              <w:pStyle w:val="TableContents"/>
              <w:bidi w:val="0"/>
              <w:spacing w:before="0" w:after="283"/>
              <w:jc w:val="center"/>
              <w:rPr/>
            </w:pPr>
            <w:r>
              <w:rPr>
                <w:rStyle w:val="StrongEmphasis"/>
              </w:rPr>
              <w:t>AA Group</w:t>
            </w:r>
          </w:p>
        </w:tc>
      </w:tr>
      <w:tr>
        <w:trPr/>
        <w:tc>
          <w:tcPr>
            <w:tcW w:w="1426" w:type="dxa"/>
            <w:tcBorders/>
            <w:vAlign w:val="center"/>
          </w:tcPr>
          <w:p>
            <w:pPr>
              <w:pStyle w:val="TableContents"/>
              <w:bidi w:val="0"/>
              <w:spacing w:before="0" w:after="283"/>
              <w:jc w:val="left"/>
              <w:rPr/>
            </w:pPr>
            <w:r>
              <w:rPr>
                <w:rStyle w:val="StrongEmphasis"/>
              </w:rPr>
              <w:t>Total Revenue</w:t>
            </w:r>
          </w:p>
        </w:tc>
        <w:tc>
          <w:tcPr>
            <w:tcW w:w="1186" w:type="dxa"/>
            <w:tcBorders/>
            <w:vAlign w:val="center"/>
          </w:tcPr>
          <w:p>
            <w:pPr>
              <w:pStyle w:val="TableContents"/>
              <w:bidi w:val="0"/>
              <w:spacing w:before="0" w:after="283"/>
              <w:jc w:val="right"/>
              <w:rPr/>
            </w:pPr>
            <w:r>
              <w:rPr>
                <w:rStyle w:val="StrongEmphasis"/>
              </w:rPr>
              <w:t>17,009,755</w:t>
            </w:r>
          </w:p>
        </w:tc>
        <w:tc>
          <w:tcPr>
            <w:tcW w:w="1186" w:type="dxa"/>
            <w:tcBorders/>
            <w:vAlign w:val="center"/>
          </w:tcPr>
          <w:p>
            <w:pPr>
              <w:pStyle w:val="TableContents"/>
              <w:bidi w:val="0"/>
              <w:spacing w:before="0" w:after="283"/>
              <w:jc w:val="right"/>
              <w:rPr/>
            </w:pPr>
            <w:r>
              <w:rPr>
                <w:rStyle w:val="StrongEmphasis"/>
              </w:rPr>
              <w:t>12,206,211</w:t>
            </w:r>
          </w:p>
        </w:tc>
        <w:tc>
          <w:tcPr>
            <w:tcW w:w="1261" w:type="dxa"/>
            <w:tcBorders/>
            <w:vAlign w:val="center"/>
          </w:tcPr>
          <w:p>
            <w:pPr>
              <w:pStyle w:val="TableContents"/>
              <w:bidi w:val="0"/>
              <w:spacing w:before="0" w:after="283"/>
              <w:jc w:val="right"/>
              <w:rPr/>
            </w:pPr>
            <w:r>
              <w:rPr>
                <w:rStyle w:val="StrongEmphasis"/>
              </w:rPr>
              <w:t>—</w:t>
            </w:r>
          </w:p>
        </w:tc>
        <w:tc>
          <w:tcPr>
            <w:tcW w:w="646" w:type="dxa"/>
            <w:tcBorders/>
            <w:vAlign w:val="center"/>
          </w:tcPr>
          <w:p>
            <w:pPr>
              <w:pStyle w:val="TableContents"/>
              <w:bidi w:val="0"/>
              <w:spacing w:before="0" w:after="283"/>
              <w:jc w:val="right"/>
              <w:rPr/>
            </w:pPr>
            <w:r>
              <w:rPr/>
              <w:t> </w:t>
            </w:r>
          </w:p>
        </w:tc>
        <w:tc>
          <w:tcPr>
            <w:tcW w:w="1261" w:type="dxa"/>
            <w:tcBorders/>
            <w:vAlign w:val="center"/>
          </w:tcPr>
          <w:p>
            <w:pPr>
              <w:pStyle w:val="TableContents"/>
              <w:bidi w:val="0"/>
              <w:spacing w:before="0" w:after="283"/>
              <w:jc w:val="right"/>
              <w:rPr/>
            </w:pPr>
            <w:r>
              <w:rPr>
                <w:rStyle w:val="StrongEmphasis"/>
              </w:rPr>
              <w:t>12,206,211</w:t>
            </w:r>
          </w:p>
        </w:tc>
        <w:tc>
          <w:tcPr>
            <w:tcW w:w="1186" w:type="dxa"/>
            <w:tcBorders/>
            <w:vAlign w:val="center"/>
          </w:tcPr>
          <w:p>
            <w:pPr>
              <w:pStyle w:val="TableContents"/>
              <w:bidi w:val="0"/>
              <w:spacing w:before="0" w:after="283"/>
              <w:jc w:val="right"/>
              <w:rPr/>
            </w:pPr>
            <w:r>
              <w:rPr>
                <w:rStyle w:val="StrongEmphasis"/>
              </w:rPr>
              <w:t>30,606,242</w:t>
            </w:r>
          </w:p>
        </w:tc>
        <w:tc>
          <w:tcPr>
            <w:tcW w:w="1186" w:type="dxa"/>
            <w:tcBorders/>
            <w:vAlign w:val="center"/>
          </w:tcPr>
          <w:p>
            <w:pPr>
              <w:pStyle w:val="TableContents"/>
              <w:bidi w:val="0"/>
              <w:spacing w:before="0" w:after="283"/>
              <w:jc w:val="right"/>
              <w:rPr/>
            </w:pPr>
            <w:r>
              <w:rPr>
                <w:rStyle w:val="StrongEmphasis"/>
              </w:rPr>
              <w:t>32,929,895</w:t>
            </w:r>
          </w:p>
        </w:tc>
        <w:tc>
          <w:tcPr>
            <w:tcW w:w="1261" w:type="dxa"/>
            <w:tcBorders/>
            <w:vAlign w:val="center"/>
          </w:tcPr>
          <w:p>
            <w:pPr>
              <w:pStyle w:val="TableContents"/>
              <w:bidi w:val="0"/>
              <w:spacing w:before="0" w:after="283"/>
              <w:jc w:val="right"/>
              <w:rPr/>
            </w:pPr>
            <w:r>
              <w:rPr>
                <w:rStyle w:val="StrongEmphasis"/>
              </w:rPr>
              <w:t>—</w:t>
            </w:r>
          </w:p>
        </w:tc>
        <w:tc>
          <w:tcPr>
            <w:tcW w:w="64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rStyle w:val="StrongEmphasis"/>
              </w:rPr>
              <w:t>32,929,895</w:t>
            </w:r>
          </w:p>
        </w:tc>
      </w:tr>
      <w:tr>
        <w:trPr/>
        <w:tc>
          <w:tcPr>
            <w:tcW w:w="142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left"/>
              <w:rPr/>
            </w:pPr>
            <w:r>
              <w:rPr/>
              <w:t> </w:t>
            </w:r>
          </w:p>
        </w:tc>
        <w:tc>
          <w:tcPr>
            <w:tcW w:w="126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 </w:t>
            </w:r>
          </w:p>
        </w:tc>
        <w:tc>
          <w:tcPr>
            <w:tcW w:w="1261"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left"/>
              <w:rPr/>
            </w:pPr>
            <w:r>
              <w:rPr/>
              <w:t> </w:t>
            </w:r>
          </w:p>
        </w:tc>
        <w:tc>
          <w:tcPr>
            <w:tcW w:w="126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left"/>
              <w:rPr/>
            </w:pPr>
            <w:r>
              <w:rPr/>
              <w:t> </w:t>
            </w:r>
          </w:p>
        </w:tc>
      </w:tr>
      <w:tr>
        <w:trPr/>
        <w:tc>
          <w:tcPr>
            <w:tcW w:w="1426" w:type="dxa"/>
            <w:tcBorders/>
            <w:vAlign w:val="center"/>
          </w:tcPr>
          <w:p>
            <w:pPr>
              <w:pStyle w:val="TableContents"/>
              <w:bidi w:val="0"/>
              <w:spacing w:before="0" w:after="283"/>
              <w:jc w:val="left"/>
              <w:rPr/>
            </w:pPr>
            <w:r>
              <w:rPr>
                <w:rStyle w:val="StrongEmphasis"/>
              </w:rPr>
              <w:t>Operating (loss)/income</w:t>
            </w:r>
          </w:p>
        </w:tc>
        <w:tc>
          <w:tcPr>
            <w:tcW w:w="1186" w:type="dxa"/>
            <w:tcBorders/>
            <w:vAlign w:val="center"/>
          </w:tcPr>
          <w:p>
            <w:pPr>
              <w:pStyle w:val="TableContents"/>
              <w:bidi w:val="0"/>
              <w:spacing w:before="0" w:after="283"/>
              <w:jc w:val="right"/>
              <w:rPr/>
            </w:pPr>
            <w:r>
              <w:rPr>
                <w:rStyle w:val="StrongEmphasis"/>
              </w:rPr>
              <w:t>(465,686)</w:t>
            </w:r>
          </w:p>
        </w:tc>
        <w:tc>
          <w:tcPr>
            <w:tcW w:w="1186" w:type="dxa"/>
            <w:tcBorders/>
            <w:vAlign w:val="center"/>
          </w:tcPr>
          <w:p>
            <w:pPr>
              <w:pStyle w:val="TableContents"/>
              <w:bidi w:val="0"/>
              <w:spacing w:before="0" w:after="283"/>
              <w:jc w:val="right"/>
              <w:rPr/>
            </w:pPr>
            <w:r>
              <w:rPr>
                <w:rStyle w:val="StrongEmphasis"/>
              </w:rPr>
              <w:t>(674,590)</w:t>
            </w:r>
          </w:p>
        </w:tc>
        <w:tc>
          <w:tcPr>
            <w:tcW w:w="1261" w:type="dxa"/>
            <w:tcBorders/>
            <w:vAlign w:val="center"/>
          </w:tcPr>
          <w:p>
            <w:pPr>
              <w:pStyle w:val="TableContents"/>
              <w:bidi w:val="0"/>
              <w:spacing w:before="0" w:after="283"/>
              <w:jc w:val="right"/>
              <w:rPr/>
            </w:pPr>
            <w:r>
              <w:rPr>
                <w:rStyle w:val="StrongEmphasis"/>
              </w:rPr>
              <w:t>(24,399,311)</w:t>
            </w:r>
          </w:p>
        </w:tc>
        <w:tc>
          <w:tcPr>
            <w:tcW w:w="646" w:type="dxa"/>
            <w:tcBorders/>
            <w:vAlign w:val="center"/>
          </w:tcPr>
          <w:p>
            <w:pPr>
              <w:pStyle w:val="TableContents"/>
              <w:bidi w:val="0"/>
              <w:spacing w:before="0" w:after="283"/>
              <w:jc w:val="right"/>
              <w:rPr/>
            </w:pPr>
            <w:r>
              <w:rPr>
                <w:rStyle w:val="StrongEmphasis"/>
              </w:rPr>
              <w:t>3,000</w:t>
            </w:r>
          </w:p>
        </w:tc>
        <w:tc>
          <w:tcPr>
            <w:tcW w:w="1261" w:type="dxa"/>
            <w:tcBorders/>
            <w:vAlign w:val="center"/>
          </w:tcPr>
          <w:p>
            <w:pPr>
              <w:pStyle w:val="TableContents"/>
              <w:bidi w:val="0"/>
              <w:spacing w:before="0" w:after="283"/>
              <w:jc w:val="right"/>
              <w:rPr/>
            </w:pPr>
            <w:r>
              <w:rPr>
                <w:rStyle w:val="StrongEmphasis"/>
              </w:rPr>
              <w:t>(25,070,901)</w:t>
            </w:r>
          </w:p>
        </w:tc>
        <w:tc>
          <w:tcPr>
            <w:tcW w:w="1186" w:type="dxa"/>
            <w:tcBorders/>
            <w:vAlign w:val="center"/>
          </w:tcPr>
          <w:p>
            <w:pPr>
              <w:pStyle w:val="TableContents"/>
              <w:bidi w:val="0"/>
              <w:spacing w:before="0" w:after="283"/>
              <w:jc w:val="right"/>
              <w:rPr/>
            </w:pPr>
            <w:r>
              <w:rPr>
                <w:rStyle w:val="StrongEmphasis"/>
              </w:rPr>
              <w:t>712,027</w:t>
            </w:r>
          </w:p>
        </w:tc>
        <w:tc>
          <w:tcPr>
            <w:tcW w:w="1186" w:type="dxa"/>
            <w:tcBorders/>
            <w:vAlign w:val="center"/>
          </w:tcPr>
          <w:p>
            <w:pPr>
              <w:pStyle w:val="TableContents"/>
              <w:bidi w:val="0"/>
              <w:spacing w:before="0" w:after="283"/>
              <w:jc w:val="right"/>
              <w:rPr/>
            </w:pPr>
            <w:r>
              <w:rPr>
                <w:rStyle w:val="StrongEmphasis"/>
              </w:rPr>
              <w:t>(2,977,977)</w:t>
            </w:r>
          </w:p>
        </w:tc>
        <w:tc>
          <w:tcPr>
            <w:tcW w:w="1261" w:type="dxa"/>
            <w:tcBorders/>
            <w:vAlign w:val="center"/>
          </w:tcPr>
          <w:p>
            <w:pPr>
              <w:pStyle w:val="TableContents"/>
              <w:bidi w:val="0"/>
              <w:spacing w:before="0" w:after="283"/>
              <w:jc w:val="right"/>
              <w:rPr/>
            </w:pPr>
            <w:r>
              <w:rPr>
                <w:rStyle w:val="StrongEmphasis"/>
              </w:rPr>
              <w:t>(15,464,729)</w:t>
            </w:r>
          </w:p>
        </w:tc>
        <w:tc>
          <w:tcPr>
            <w:tcW w:w="646" w:type="dxa"/>
            <w:tcBorders/>
            <w:vAlign w:val="center"/>
          </w:tcPr>
          <w:p>
            <w:pPr>
              <w:pStyle w:val="TableContents"/>
              <w:bidi w:val="0"/>
              <w:spacing w:before="0" w:after="283"/>
              <w:jc w:val="right"/>
              <w:rPr/>
            </w:pPr>
            <w:r>
              <w:rPr>
                <w:rStyle w:val="StrongEmphasis"/>
              </w:rPr>
              <w:t>3,000</w:t>
            </w:r>
          </w:p>
        </w:tc>
        <w:tc>
          <w:tcPr>
            <w:tcW w:w="1306" w:type="dxa"/>
            <w:tcBorders/>
            <w:vAlign w:val="center"/>
          </w:tcPr>
          <w:p>
            <w:pPr>
              <w:pStyle w:val="TableContents"/>
              <w:bidi w:val="0"/>
              <w:spacing w:before="0" w:after="283"/>
              <w:jc w:val="right"/>
              <w:rPr/>
            </w:pPr>
            <w:r>
              <w:rPr>
                <w:rStyle w:val="StrongEmphasis"/>
              </w:rPr>
              <w:t>(18,439,706)</w:t>
            </w:r>
          </w:p>
        </w:tc>
      </w:tr>
      <w:tr>
        <w:trPr/>
        <w:tc>
          <w:tcPr>
            <w:tcW w:w="1426" w:type="dxa"/>
            <w:tcBorders/>
            <w:tcMar>
              <w:top w:w="0" w:type="dxa"/>
              <w:left w:w="0" w:type="dxa"/>
              <w:bottom w:w="0" w:type="dxa"/>
              <w:right w:w="0" w:type="dxa"/>
            </w:tcMar>
            <w:vAlign w:val="center"/>
          </w:tcPr>
          <w:p>
            <w:pPr>
              <w:pStyle w:val="TableContents"/>
              <w:bidi w:val="0"/>
              <w:spacing w:before="0" w:after="283"/>
              <w:jc w:val="left"/>
              <w:rPr/>
            </w:pPr>
            <w:r>
              <w:rPr/>
              <w:t>Add: Share-based compensation expenses</w:t>
            </w:r>
          </w:p>
        </w:tc>
        <w:tc>
          <w:tcPr>
            <w:tcW w:w="1186" w:type="dxa"/>
            <w:tcBorders/>
            <w:vAlign w:val="center"/>
          </w:tcPr>
          <w:p>
            <w:pPr>
              <w:pStyle w:val="TableContents"/>
              <w:bidi w:val="0"/>
              <w:spacing w:before="0" w:after="283"/>
              <w:jc w:val="right"/>
              <w:rPr/>
            </w:pPr>
            <w:r>
              <w:rPr/>
              <w:t>2,591,244</w:t>
            </w:r>
          </w:p>
        </w:tc>
        <w:tc>
          <w:tcPr>
            <w:tcW w:w="1186" w:type="dxa"/>
            <w:tcBorders/>
            <w:vAlign w:val="center"/>
          </w:tcPr>
          <w:p>
            <w:pPr>
              <w:pStyle w:val="TableContents"/>
              <w:bidi w:val="0"/>
              <w:spacing w:before="0" w:after="283"/>
              <w:jc w:val="right"/>
              <w:rPr/>
            </w:pPr>
            <w:r>
              <w:rPr/>
              <w:t>920,418</w:t>
            </w:r>
          </w:p>
        </w:tc>
        <w:tc>
          <w:tcPr>
            <w:tcW w:w="1261" w:type="dxa"/>
            <w:tcBorders/>
            <w:vAlign w:val="center"/>
          </w:tcPr>
          <w:p>
            <w:pPr>
              <w:pStyle w:val="TableContents"/>
              <w:bidi w:val="0"/>
              <w:spacing w:before="0" w:after="283"/>
              <w:jc w:val="right"/>
              <w:rPr/>
            </w:pPr>
            <w:r>
              <w:rPr/>
              <w:t>347,933</w:t>
            </w:r>
          </w:p>
        </w:tc>
        <w:tc>
          <w:tcPr>
            <w:tcW w:w="646" w:type="dxa"/>
            <w:tcBorders/>
            <w:vAlign w:val="center"/>
          </w:tcPr>
          <w:p>
            <w:pPr>
              <w:pStyle w:val="TableContents"/>
              <w:bidi w:val="0"/>
              <w:spacing w:before="0" w:after="283"/>
              <w:jc w:val="right"/>
              <w:rPr/>
            </w:pPr>
            <w:r>
              <w:rPr/>
              <w:t> </w:t>
            </w:r>
          </w:p>
        </w:tc>
        <w:tc>
          <w:tcPr>
            <w:tcW w:w="1261" w:type="dxa"/>
            <w:tcBorders/>
            <w:vAlign w:val="center"/>
          </w:tcPr>
          <w:p>
            <w:pPr>
              <w:pStyle w:val="TableContents"/>
              <w:bidi w:val="0"/>
              <w:spacing w:before="0" w:after="283"/>
              <w:jc w:val="right"/>
              <w:rPr/>
            </w:pPr>
            <w:r>
              <w:rPr/>
              <w:t>1,268,351</w:t>
            </w:r>
          </w:p>
        </w:tc>
        <w:tc>
          <w:tcPr>
            <w:tcW w:w="1186" w:type="dxa"/>
            <w:tcBorders/>
            <w:vAlign w:val="center"/>
          </w:tcPr>
          <w:p>
            <w:pPr>
              <w:pStyle w:val="TableContents"/>
              <w:bidi w:val="0"/>
              <w:spacing w:before="0" w:after="283"/>
              <w:jc w:val="right"/>
              <w:rPr/>
            </w:pPr>
            <w:r>
              <w:rPr/>
              <w:t>2,955,328</w:t>
            </w:r>
          </w:p>
        </w:tc>
        <w:tc>
          <w:tcPr>
            <w:tcW w:w="1186" w:type="dxa"/>
            <w:tcBorders/>
            <w:vAlign w:val="center"/>
          </w:tcPr>
          <w:p>
            <w:pPr>
              <w:pStyle w:val="TableContents"/>
              <w:bidi w:val="0"/>
              <w:spacing w:before="0" w:after="283"/>
              <w:jc w:val="right"/>
              <w:rPr/>
            </w:pPr>
            <w:r>
              <w:rPr/>
              <w:t>1,809,191</w:t>
            </w:r>
          </w:p>
        </w:tc>
        <w:tc>
          <w:tcPr>
            <w:tcW w:w="1261" w:type="dxa"/>
            <w:tcBorders/>
            <w:vAlign w:val="center"/>
          </w:tcPr>
          <w:p>
            <w:pPr>
              <w:pStyle w:val="TableContents"/>
              <w:bidi w:val="0"/>
              <w:spacing w:before="0" w:after="283"/>
              <w:jc w:val="right"/>
              <w:rPr/>
            </w:pPr>
            <w:r>
              <w:rPr/>
              <w:t>720,442</w:t>
            </w:r>
          </w:p>
        </w:tc>
        <w:tc>
          <w:tcPr>
            <w:tcW w:w="64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2,529,633</w:t>
            </w:r>
          </w:p>
        </w:tc>
      </w:tr>
      <w:tr>
        <w:trPr/>
        <w:tc>
          <w:tcPr>
            <w:tcW w:w="1426" w:type="dxa"/>
            <w:tcBorders/>
            <w:tcMar>
              <w:top w:w="0" w:type="dxa"/>
              <w:left w:w="0" w:type="dxa"/>
              <w:bottom w:w="0" w:type="dxa"/>
              <w:right w:w="0" w:type="dxa"/>
            </w:tcMar>
            <w:vAlign w:val="center"/>
          </w:tcPr>
          <w:p>
            <w:pPr>
              <w:pStyle w:val="TableContents"/>
              <w:bidi w:val="0"/>
              <w:spacing w:before="0" w:after="283"/>
              <w:jc w:val="left"/>
              <w:rPr/>
            </w:pPr>
            <w:r>
              <w:rPr/>
              <w:t>Add: Severance expense</w:t>
            </w:r>
          </w:p>
        </w:tc>
        <w:tc>
          <w:tcPr>
            <w:tcW w:w="118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w:t>
            </w:r>
          </w:p>
        </w:tc>
        <w:tc>
          <w:tcPr>
            <w:tcW w:w="1261" w:type="dxa"/>
            <w:tcBorders/>
            <w:vAlign w:val="center"/>
          </w:tcPr>
          <w:p>
            <w:pPr>
              <w:pStyle w:val="TableContents"/>
              <w:bidi w:val="0"/>
              <w:spacing w:before="0" w:after="283"/>
              <w:jc w:val="right"/>
              <w:rPr/>
            </w:pPr>
            <w:r>
              <w:rPr/>
              <w:t>—</w:t>
            </w:r>
          </w:p>
        </w:tc>
        <w:tc>
          <w:tcPr>
            <w:tcW w:w="646" w:type="dxa"/>
            <w:tcBorders/>
            <w:vAlign w:val="center"/>
          </w:tcPr>
          <w:p>
            <w:pPr>
              <w:pStyle w:val="TableContents"/>
              <w:bidi w:val="0"/>
              <w:spacing w:before="0" w:after="283"/>
              <w:jc w:val="right"/>
              <w:rPr/>
            </w:pPr>
            <w:r>
              <w:rPr/>
              <w:t> </w:t>
            </w:r>
          </w:p>
        </w:tc>
        <w:tc>
          <w:tcPr>
            <w:tcW w:w="1261"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3,313,048</w:t>
            </w:r>
          </w:p>
        </w:tc>
        <w:tc>
          <w:tcPr>
            <w:tcW w:w="1261" w:type="dxa"/>
            <w:tcBorders/>
            <w:vAlign w:val="center"/>
          </w:tcPr>
          <w:p>
            <w:pPr>
              <w:pStyle w:val="TableContents"/>
              <w:bidi w:val="0"/>
              <w:spacing w:before="0" w:after="283"/>
              <w:jc w:val="right"/>
              <w:rPr/>
            </w:pPr>
            <w:r>
              <w:rPr/>
              <w:t>—</w:t>
            </w:r>
          </w:p>
        </w:tc>
        <w:tc>
          <w:tcPr>
            <w:tcW w:w="64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3,313,048</w:t>
            </w:r>
          </w:p>
        </w:tc>
      </w:tr>
      <w:tr>
        <w:trPr/>
        <w:tc>
          <w:tcPr>
            <w:tcW w:w="1426" w:type="dxa"/>
            <w:tcBorders/>
            <w:vAlign w:val="center"/>
          </w:tcPr>
          <w:p>
            <w:pPr>
              <w:pStyle w:val="TableContents"/>
              <w:bidi w:val="0"/>
              <w:spacing w:before="0" w:after="283"/>
              <w:jc w:val="left"/>
              <w:rPr/>
            </w:pPr>
            <w:r>
              <w:rPr>
                <w:rStyle w:val="StrongEmphasis"/>
              </w:rPr>
              <w:t>Operating income/(loss) (non-GAAP)</w:t>
            </w:r>
          </w:p>
        </w:tc>
        <w:tc>
          <w:tcPr>
            <w:tcW w:w="1186" w:type="dxa"/>
            <w:tcBorders/>
            <w:vAlign w:val="center"/>
          </w:tcPr>
          <w:p>
            <w:pPr>
              <w:pStyle w:val="TableContents"/>
              <w:bidi w:val="0"/>
              <w:spacing w:before="0" w:after="283"/>
              <w:jc w:val="right"/>
              <w:rPr/>
            </w:pPr>
            <w:r>
              <w:rPr>
                <w:rStyle w:val="StrongEmphasis"/>
              </w:rPr>
              <w:t>2,125,558</w:t>
            </w:r>
          </w:p>
        </w:tc>
        <w:tc>
          <w:tcPr>
            <w:tcW w:w="1186" w:type="dxa"/>
            <w:tcBorders/>
            <w:vAlign w:val="center"/>
          </w:tcPr>
          <w:p>
            <w:pPr>
              <w:pStyle w:val="TableContents"/>
              <w:bidi w:val="0"/>
              <w:spacing w:before="0" w:after="283"/>
              <w:jc w:val="right"/>
              <w:rPr/>
            </w:pPr>
            <w:r>
              <w:rPr>
                <w:rStyle w:val="StrongEmphasis"/>
              </w:rPr>
              <w:t>245,828</w:t>
            </w:r>
          </w:p>
        </w:tc>
        <w:tc>
          <w:tcPr>
            <w:tcW w:w="1261" w:type="dxa"/>
            <w:tcBorders/>
            <w:vAlign w:val="center"/>
          </w:tcPr>
          <w:p>
            <w:pPr>
              <w:pStyle w:val="TableContents"/>
              <w:bidi w:val="0"/>
              <w:spacing w:before="0" w:after="283"/>
              <w:jc w:val="right"/>
              <w:rPr/>
            </w:pPr>
            <w:r>
              <w:rPr>
                <w:rStyle w:val="StrongEmphasis"/>
              </w:rPr>
              <w:t>(24,051,378)</w:t>
            </w:r>
          </w:p>
        </w:tc>
        <w:tc>
          <w:tcPr>
            <w:tcW w:w="646" w:type="dxa"/>
            <w:tcBorders/>
            <w:vAlign w:val="center"/>
          </w:tcPr>
          <w:p>
            <w:pPr>
              <w:pStyle w:val="TableContents"/>
              <w:bidi w:val="0"/>
              <w:spacing w:before="0" w:after="283"/>
              <w:jc w:val="right"/>
              <w:rPr/>
            </w:pPr>
            <w:r>
              <w:rPr>
                <w:rStyle w:val="StrongEmphasis"/>
              </w:rPr>
              <w:t>3,000</w:t>
            </w:r>
          </w:p>
        </w:tc>
        <w:tc>
          <w:tcPr>
            <w:tcW w:w="1261" w:type="dxa"/>
            <w:tcBorders/>
            <w:vAlign w:val="center"/>
          </w:tcPr>
          <w:p>
            <w:pPr>
              <w:pStyle w:val="TableContents"/>
              <w:bidi w:val="0"/>
              <w:spacing w:before="0" w:after="283"/>
              <w:jc w:val="right"/>
              <w:rPr/>
            </w:pPr>
            <w:r>
              <w:rPr>
                <w:rStyle w:val="StrongEmphasis"/>
              </w:rPr>
              <w:t>(23,802,550)</w:t>
            </w:r>
          </w:p>
        </w:tc>
        <w:tc>
          <w:tcPr>
            <w:tcW w:w="1186" w:type="dxa"/>
            <w:tcBorders/>
            <w:vAlign w:val="center"/>
          </w:tcPr>
          <w:p>
            <w:pPr>
              <w:pStyle w:val="TableContents"/>
              <w:bidi w:val="0"/>
              <w:spacing w:before="0" w:after="283"/>
              <w:jc w:val="right"/>
              <w:rPr/>
            </w:pPr>
            <w:r>
              <w:rPr>
                <w:rStyle w:val="StrongEmphasis"/>
              </w:rPr>
              <w:t>3,667,355</w:t>
            </w:r>
          </w:p>
        </w:tc>
        <w:tc>
          <w:tcPr>
            <w:tcW w:w="1186" w:type="dxa"/>
            <w:tcBorders/>
            <w:vAlign w:val="center"/>
          </w:tcPr>
          <w:p>
            <w:pPr>
              <w:pStyle w:val="TableContents"/>
              <w:bidi w:val="0"/>
              <w:spacing w:before="0" w:after="283"/>
              <w:jc w:val="right"/>
              <w:rPr/>
            </w:pPr>
            <w:r>
              <w:rPr>
                <w:rStyle w:val="StrongEmphasis"/>
              </w:rPr>
              <w:t>2,144,262</w:t>
            </w:r>
          </w:p>
        </w:tc>
        <w:tc>
          <w:tcPr>
            <w:tcW w:w="1261" w:type="dxa"/>
            <w:tcBorders/>
            <w:vAlign w:val="center"/>
          </w:tcPr>
          <w:p>
            <w:pPr>
              <w:pStyle w:val="TableContents"/>
              <w:bidi w:val="0"/>
              <w:spacing w:before="0" w:after="283"/>
              <w:jc w:val="right"/>
              <w:rPr/>
            </w:pPr>
            <w:r>
              <w:rPr>
                <w:rStyle w:val="StrongEmphasis"/>
              </w:rPr>
              <w:t>(14,744,287)</w:t>
            </w:r>
          </w:p>
        </w:tc>
        <w:tc>
          <w:tcPr>
            <w:tcW w:w="646" w:type="dxa"/>
            <w:tcBorders/>
            <w:vAlign w:val="center"/>
          </w:tcPr>
          <w:p>
            <w:pPr>
              <w:pStyle w:val="TableContents"/>
              <w:bidi w:val="0"/>
              <w:spacing w:before="0" w:after="283"/>
              <w:jc w:val="right"/>
              <w:rPr/>
            </w:pPr>
            <w:r>
              <w:rPr>
                <w:rStyle w:val="StrongEmphasis"/>
              </w:rPr>
              <w:t>3,000</w:t>
            </w:r>
          </w:p>
        </w:tc>
        <w:tc>
          <w:tcPr>
            <w:tcW w:w="1306" w:type="dxa"/>
            <w:tcBorders/>
            <w:vAlign w:val="center"/>
          </w:tcPr>
          <w:p>
            <w:pPr>
              <w:pStyle w:val="TableContents"/>
              <w:bidi w:val="0"/>
              <w:spacing w:before="0" w:after="283"/>
              <w:jc w:val="right"/>
              <w:rPr/>
            </w:pPr>
            <w:r>
              <w:rPr>
                <w:rStyle w:val="StrongEmphasis"/>
              </w:rPr>
              <w:t>(12,597,025)</w:t>
            </w:r>
          </w:p>
        </w:tc>
      </w:tr>
      <w:tr>
        <w:trPr/>
        <w:tc>
          <w:tcPr>
            <w:tcW w:w="1426" w:type="dxa"/>
            <w:tcBorders/>
            <w:vAlign w:val="center"/>
          </w:tcPr>
          <w:p>
            <w:pPr>
              <w:pStyle w:val="TableContents"/>
              <w:bidi w:val="0"/>
              <w:spacing w:before="0" w:after="283"/>
              <w:jc w:val="left"/>
              <w:rPr/>
            </w:pPr>
            <w:r>
              <w:rPr>
                <w:rStyle w:val="StrongEmphasis"/>
              </w:rPr>
              <w:t>Operating margin (non-GAAP)</w:t>
            </w:r>
          </w:p>
        </w:tc>
        <w:tc>
          <w:tcPr>
            <w:tcW w:w="1186" w:type="dxa"/>
            <w:tcBorders/>
            <w:vAlign w:val="center"/>
          </w:tcPr>
          <w:p>
            <w:pPr>
              <w:pStyle w:val="TableContents"/>
              <w:bidi w:val="0"/>
              <w:spacing w:before="0" w:after="283"/>
              <w:jc w:val="right"/>
              <w:rPr/>
            </w:pPr>
            <w:r>
              <w:rPr>
                <w:rStyle w:val="StrongEmphasis"/>
              </w:rPr>
              <w:t>12%</w:t>
            </w:r>
          </w:p>
        </w:tc>
        <w:tc>
          <w:tcPr>
            <w:tcW w:w="1186" w:type="dxa"/>
            <w:tcBorders/>
            <w:vAlign w:val="center"/>
          </w:tcPr>
          <w:p>
            <w:pPr>
              <w:pStyle w:val="TableContents"/>
              <w:bidi w:val="0"/>
              <w:spacing w:before="0" w:after="283"/>
              <w:jc w:val="right"/>
              <w:rPr/>
            </w:pPr>
            <w:r>
              <w:rPr>
                <w:rStyle w:val="StrongEmphasis"/>
              </w:rPr>
              <w:t>2%</w:t>
            </w:r>
          </w:p>
        </w:tc>
        <w:tc>
          <w:tcPr>
            <w:tcW w:w="1261" w:type="dxa"/>
            <w:tcBorders/>
            <w:vAlign w:val="center"/>
          </w:tcPr>
          <w:p>
            <w:pPr>
              <w:pStyle w:val="TableContents"/>
              <w:bidi w:val="0"/>
              <w:spacing w:before="0" w:after="283"/>
              <w:jc w:val="right"/>
              <w:rPr/>
            </w:pPr>
            <w:r>
              <w:rPr>
                <w:rStyle w:val="StrongEmphasis"/>
              </w:rPr>
              <w:t>—</w:t>
            </w:r>
          </w:p>
        </w:tc>
        <w:tc>
          <w:tcPr>
            <w:tcW w:w="646" w:type="dxa"/>
            <w:tcBorders/>
            <w:vAlign w:val="center"/>
          </w:tcPr>
          <w:p>
            <w:pPr>
              <w:pStyle w:val="TableContents"/>
              <w:bidi w:val="0"/>
              <w:spacing w:before="0" w:after="283"/>
              <w:jc w:val="right"/>
              <w:rPr/>
            </w:pPr>
            <w:r>
              <w:rPr/>
              <w:t> </w:t>
            </w:r>
          </w:p>
        </w:tc>
        <w:tc>
          <w:tcPr>
            <w:tcW w:w="1261" w:type="dxa"/>
            <w:tcBorders/>
            <w:vAlign w:val="center"/>
          </w:tcPr>
          <w:p>
            <w:pPr>
              <w:pStyle w:val="TableContents"/>
              <w:bidi w:val="0"/>
              <w:spacing w:before="0" w:after="283"/>
              <w:jc w:val="right"/>
              <w:rPr/>
            </w:pPr>
            <w:r>
              <w:rPr>
                <w:rStyle w:val="StrongEmphasis"/>
              </w:rPr>
              <w:t>(195%)</w:t>
            </w:r>
          </w:p>
        </w:tc>
        <w:tc>
          <w:tcPr>
            <w:tcW w:w="1186" w:type="dxa"/>
            <w:tcBorders/>
            <w:vAlign w:val="center"/>
          </w:tcPr>
          <w:p>
            <w:pPr>
              <w:pStyle w:val="TableContents"/>
              <w:bidi w:val="0"/>
              <w:spacing w:before="0" w:after="283"/>
              <w:jc w:val="right"/>
              <w:rPr/>
            </w:pPr>
            <w:r>
              <w:rPr>
                <w:rStyle w:val="StrongEmphasis"/>
              </w:rPr>
              <w:t>12%</w:t>
            </w:r>
          </w:p>
        </w:tc>
        <w:tc>
          <w:tcPr>
            <w:tcW w:w="1186" w:type="dxa"/>
            <w:tcBorders/>
            <w:vAlign w:val="center"/>
          </w:tcPr>
          <w:p>
            <w:pPr>
              <w:pStyle w:val="TableContents"/>
              <w:bidi w:val="0"/>
              <w:spacing w:before="0" w:after="283"/>
              <w:jc w:val="right"/>
              <w:rPr/>
            </w:pPr>
            <w:r>
              <w:rPr>
                <w:rStyle w:val="StrongEmphasis"/>
              </w:rPr>
              <w:t>7%</w:t>
            </w:r>
          </w:p>
        </w:tc>
        <w:tc>
          <w:tcPr>
            <w:tcW w:w="1261" w:type="dxa"/>
            <w:tcBorders/>
            <w:vAlign w:val="center"/>
          </w:tcPr>
          <w:p>
            <w:pPr>
              <w:pStyle w:val="TableContents"/>
              <w:bidi w:val="0"/>
              <w:spacing w:before="0" w:after="283"/>
              <w:jc w:val="right"/>
              <w:rPr/>
            </w:pPr>
            <w:r>
              <w:rPr>
                <w:rStyle w:val="StrongEmphasis"/>
              </w:rPr>
              <w:t>—</w:t>
            </w:r>
          </w:p>
        </w:tc>
        <w:tc>
          <w:tcPr>
            <w:tcW w:w="64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rStyle w:val="StrongEmphasis"/>
              </w:rPr>
              <w:t>(38%)</w:t>
            </w:r>
          </w:p>
        </w:tc>
      </w:tr>
      <w:tr>
        <w:trPr/>
        <w:tc>
          <w:tcPr>
            <w:tcW w:w="142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left"/>
              <w:rPr/>
            </w:pPr>
            <w:r>
              <w:rPr/>
              <w:t> </w:t>
            </w:r>
          </w:p>
        </w:tc>
        <w:tc>
          <w:tcPr>
            <w:tcW w:w="126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 </w:t>
            </w:r>
          </w:p>
        </w:tc>
        <w:tc>
          <w:tcPr>
            <w:tcW w:w="1261"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left"/>
              <w:rPr/>
            </w:pPr>
            <w:r>
              <w:rPr/>
              <w:t> </w:t>
            </w:r>
          </w:p>
        </w:tc>
        <w:tc>
          <w:tcPr>
            <w:tcW w:w="1261" w:type="dxa"/>
            <w:tcBorders/>
            <w:vAlign w:val="center"/>
          </w:tcPr>
          <w:p>
            <w:pPr>
              <w:pStyle w:val="TableContents"/>
              <w:bidi w:val="0"/>
              <w:spacing w:before="0" w:after="283"/>
              <w:jc w:val="left"/>
              <w:rPr/>
            </w:pPr>
            <w:r>
              <w:rPr/>
              <w:t> </w:t>
            </w:r>
          </w:p>
        </w:tc>
        <w:tc>
          <w:tcPr>
            <w:tcW w:w="64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left"/>
              <w:rPr/>
            </w:pPr>
            <w:r>
              <w:rPr/>
              <w:t> </w:t>
            </w:r>
          </w:p>
        </w:tc>
      </w:tr>
      <w:tr>
        <w:trPr/>
        <w:tc>
          <w:tcPr>
            <w:tcW w:w="1426" w:type="dxa"/>
            <w:tcBorders/>
            <w:vAlign w:val="center"/>
          </w:tcPr>
          <w:p>
            <w:pPr>
              <w:pStyle w:val="TableContents"/>
              <w:bidi w:val="0"/>
              <w:spacing w:before="0" w:after="283"/>
              <w:jc w:val="left"/>
              <w:rPr/>
            </w:pPr>
            <w:r>
              <w:rPr>
                <w:rStyle w:val="StrongEmphasis"/>
              </w:rPr>
              <w:t>Net income/(loss)</w:t>
            </w:r>
          </w:p>
        </w:tc>
        <w:tc>
          <w:tcPr>
            <w:tcW w:w="1186" w:type="dxa"/>
            <w:tcBorders/>
            <w:vAlign w:val="center"/>
          </w:tcPr>
          <w:p>
            <w:pPr>
              <w:pStyle w:val="TableContents"/>
              <w:bidi w:val="0"/>
              <w:spacing w:before="0" w:after="283"/>
              <w:jc w:val="right"/>
              <w:rPr/>
            </w:pPr>
            <w:r>
              <w:rPr>
                <w:rStyle w:val="StrongEmphasis"/>
              </w:rPr>
              <w:t>674,551</w:t>
            </w:r>
          </w:p>
        </w:tc>
        <w:tc>
          <w:tcPr>
            <w:tcW w:w="1186" w:type="dxa"/>
            <w:tcBorders/>
            <w:vAlign w:val="center"/>
          </w:tcPr>
          <w:p>
            <w:pPr>
              <w:pStyle w:val="TableContents"/>
              <w:bidi w:val="0"/>
              <w:spacing w:before="0" w:after="283"/>
              <w:jc w:val="right"/>
              <w:rPr/>
            </w:pPr>
            <w:r>
              <w:rPr>
                <w:rStyle w:val="StrongEmphasis"/>
              </w:rPr>
              <w:t>(4,583,903)</w:t>
            </w:r>
          </w:p>
        </w:tc>
        <w:tc>
          <w:tcPr>
            <w:tcW w:w="1261" w:type="dxa"/>
            <w:tcBorders/>
            <w:vAlign w:val="center"/>
          </w:tcPr>
          <w:p>
            <w:pPr>
              <w:pStyle w:val="TableContents"/>
              <w:bidi w:val="0"/>
              <w:spacing w:before="0" w:after="283"/>
              <w:jc w:val="right"/>
              <w:rPr/>
            </w:pPr>
            <w:r>
              <w:rPr>
                <w:rStyle w:val="StrongEmphasis"/>
              </w:rPr>
              <w:t>(25,063,838)</w:t>
            </w:r>
          </w:p>
        </w:tc>
        <w:tc>
          <w:tcPr>
            <w:tcW w:w="646" w:type="dxa"/>
            <w:tcBorders/>
            <w:vAlign w:val="center"/>
          </w:tcPr>
          <w:p>
            <w:pPr>
              <w:pStyle w:val="TableContents"/>
              <w:bidi w:val="0"/>
              <w:spacing w:before="0" w:after="283"/>
              <w:jc w:val="right"/>
              <w:rPr/>
            </w:pPr>
            <w:r>
              <w:rPr/>
              <w:t> </w:t>
            </w:r>
          </w:p>
        </w:tc>
        <w:tc>
          <w:tcPr>
            <w:tcW w:w="1261" w:type="dxa"/>
            <w:tcBorders/>
            <w:vAlign w:val="center"/>
          </w:tcPr>
          <w:p>
            <w:pPr>
              <w:pStyle w:val="TableContents"/>
              <w:bidi w:val="0"/>
              <w:spacing w:before="0" w:after="283"/>
              <w:jc w:val="right"/>
              <w:rPr/>
            </w:pPr>
            <w:r>
              <w:rPr>
                <w:rStyle w:val="StrongEmphasis"/>
              </w:rPr>
              <w:t>(29,647,741)</w:t>
            </w:r>
          </w:p>
        </w:tc>
        <w:tc>
          <w:tcPr>
            <w:tcW w:w="1186" w:type="dxa"/>
            <w:tcBorders/>
            <w:vAlign w:val="center"/>
          </w:tcPr>
          <w:p>
            <w:pPr>
              <w:pStyle w:val="TableContents"/>
              <w:bidi w:val="0"/>
              <w:spacing w:before="0" w:after="283"/>
              <w:jc w:val="right"/>
              <w:rPr/>
            </w:pPr>
            <w:r>
              <w:rPr>
                <w:rStyle w:val="StrongEmphasis"/>
              </w:rPr>
              <w:t>2,130,404</w:t>
            </w:r>
          </w:p>
        </w:tc>
        <w:tc>
          <w:tcPr>
            <w:tcW w:w="1186" w:type="dxa"/>
            <w:tcBorders/>
            <w:vAlign w:val="center"/>
          </w:tcPr>
          <w:p>
            <w:pPr>
              <w:pStyle w:val="TableContents"/>
              <w:bidi w:val="0"/>
              <w:spacing w:before="0" w:after="283"/>
              <w:jc w:val="right"/>
              <w:rPr/>
            </w:pPr>
            <w:r>
              <w:rPr>
                <w:rStyle w:val="StrongEmphasis"/>
              </w:rPr>
              <w:t>(4,415,873)</w:t>
            </w:r>
          </w:p>
        </w:tc>
        <w:tc>
          <w:tcPr>
            <w:tcW w:w="1261" w:type="dxa"/>
            <w:tcBorders/>
            <w:vAlign w:val="center"/>
          </w:tcPr>
          <w:p>
            <w:pPr>
              <w:pStyle w:val="TableContents"/>
              <w:bidi w:val="0"/>
              <w:spacing w:before="0" w:after="283"/>
              <w:jc w:val="right"/>
              <w:rPr/>
            </w:pPr>
            <w:r>
              <w:rPr>
                <w:rStyle w:val="StrongEmphasis"/>
              </w:rPr>
              <w:t>(17,120,074)</w:t>
            </w:r>
          </w:p>
        </w:tc>
        <w:tc>
          <w:tcPr>
            <w:tcW w:w="64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rStyle w:val="StrongEmphasis"/>
              </w:rPr>
              <w:t>(21,535,947)</w:t>
            </w:r>
          </w:p>
        </w:tc>
      </w:tr>
      <w:tr>
        <w:trPr/>
        <w:tc>
          <w:tcPr>
            <w:tcW w:w="1426" w:type="dxa"/>
            <w:tcBorders/>
            <w:tcMar>
              <w:top w:w="0" w:type="dxa"/>
              <w:left w:w="0" w:type="dxa"/>
              <w:bottom w:w="0" w:type="dxa"/>
              <w:right w:w="0" w:type="dxa"/>
            </w:tcMar>
            <w:vAlign w:val="center"/>
          </w:tcPr>
          <w:p>
            <w:pPr>
              <w:pStyle w:val="TableContents"/>
              <w:bidi w:val="0"/>
              <w:spacing w:before="0" w:after="283"/>
              <w:jc w:val="left"/>
              <w:rPr/>
            </w:pPr>
            <w:r>
              <w:rPr/>
              <w:t>Add: Share-based compensation expenses</w:t>
            </w:r>
          </w:p>
        </w:tc>
        <w:tc>
          <w:tcPr>
            <w:tcW w:w="1186" w:type="dxa"/>
            <w:tcBorders/>
            <w:vAlign w:val="center"/>
          </w:tcPr>
          <w:p>
            <w:pPr>
              <w:pStyle w:val="TableContents"/>
              <w:bidi w:val="0"/>
              <w:spacing w:before="0" w:after="283"/>
              <w:jc w:val="right"/>
              <w:rPr/>
            </w:pPr>
            <w:r>
              <w:rPr/>
              <w:t>2,591,244</w:t>
            </w:r>
          </w:p>
        </w:tc>
        <w:tc>
          <w:tcPr>
            <w:tcW w:w="1186" w:type="dxa"/>
            <w:tcBorders/>
            <w:vAlign w:val="center"/>
          </w:tcPr>
          <w:p>
            <w:pPr>
              <w:pStyle w:val="TableContents"/>
              <w:bidi w:val="0"/>
              <w:spacing w:before="0" w:after="283"/>
              <w:jc w:val="right"/>
              <w:rPr/>
            </w:pPr>
            <w:r>
              <w:rPr/>
              <w:t>920,418</w:t>
            </w:r>
          </w:p>
        </w:tc>
        <w:tc>
          <w:tcPr>
            <w:tcW w:w="1261" w:type="dxa"/>
            <w:tcBorders/>
            <w:vAlign w:val="center"/>
          </w:tcPr>
          <w:p>
            <w:pPr>
              <w:pStyle w:val="TableContents"/>
              <w:bidi w:val="0"/>
              <w:spacing w:before="0" w:after="283"/>
              <w:jc w:val="right"/>
              <w:rPr/>
            </w:pPr>
            <w:r>
              <w:rPr/>
              <w:t>347,933</w:t>
            </w:r>
          </w:p>
        </w:tc>
        <w:tc>
          <w:tcPr>
            <w:tcW w:w="646" w:type="dxa"/>
            <w:tcBorders/>
            <w:vAlign w:val="center"/>
          </w:tcPr>
          <w:p>
            <w:pPr>
              <w:pStyle w:val="TableContents"/>
              <w:bidi w:val="0"/>
              <w:spacing w:before="0" w:after="283"/>
              <w:jc w:val="right"/>
              <w:rPr/>
            </w:pPr>
            <w:r>
              <w:rPr/>
              <w:t> </w:t>
            </w:r>
          </w:p>
        </w:tc>
        <w:tc>
          <w:tcPr>
            <w:tcW w:w="1261" w:type="dxa"/>
            <w:tcBorders/>
            <w:vAlign w:val="center"/>
          </w:tcPr>
          <w:p>
            <w:pPr>
              <w:pStyle w:val="TableContents"/>
              <w:bidi w:val="0"/>
              <w:spacing w:before="0" w:after="283"/>
              <w:jc w:val="right"/>
              <w:rPr/>
            </w:pPr>
            <w:r>
              <w:rPr/>
              <w:t>1,268,351</w:t>
            </w:r>
          </w:p>
        </w:tc>
        <w:tc>
          <w:tcPr>
            <w:tcW w:w="1186" w:type="dxa"/>
            <w:tcBorders/>
            <w:vAlign w:val="center"/>
          </w:tcPr>
          <w:p>
            <w:pPr>
              <w:pStyle w:val="TableContents"/>
              <w:bidi w:val="0"/>
              <w:spacing w:before="0" w:after="283"/>
              <w:jc w:val="right"/>
              <w:rPr/>
            </w:pPr>
            <w:r>
              <w:rPr/>
              <w:t>2,955,328</w:t>
            </w:r>
          </w:p>
        </w:tc>
        <w:tc>
          <w:tcPr>
            <w:tcW w:w="1186" w:type="dxa"/>
            <w:tcBorders/>
            <w:vAlign w:val="center"/>
          </w:tcPr>
          <w:p>
            <w:pPr>
              <w:pStyle w:val="TableContents"/>
              <w:bidi w:val="0"/>
              <w:spacing w:before="0" w:after="283"/>
              <w:jc w:val="right"/>
              <w:rPr/>
            </w:pPr>
            <w:r>
              <w:rPr/>
              <w:t>1,809,191</w:t>
            </w:r>
          </w:p>
        </w:tc>
        <w:tc>
          <w:tcPr>
            <w:tcW w:w="1261" w:type="dxa"/>
            <w:tcBorders/>
            <w:vAlign w:val="center"/>
          </w:tcPr>
          <w:p>
            <w:pPr>
              <w:pStyle w:val="TableContents"/>
              <w:bidi w:val="0"/>
              <w:spacing w:before="0" w:after="283"/>
              <w:jc w:val="right"/>
              <w:rPr/>
            </w:pPr>
            <w:r>
              <w:rPr/>
              <w:t>720,442</w:t>
            </w:r>
          </w:p>
        </w:tc>
        <w:tc>
          <w:tcPr>
            <w:tcW w:w="64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2,529,633</w:t>
            </w:r>
          </w:p>
        </w:tc>
      </w:tr>
      <w:tr>
        <w:trPr/>
        <w:tc>
          <w:tcPr>
            <w:tcW w:w="1426" w:type="dxa"/>
            <w:tcBorders/>
            <w:tcMar>
              <w:top w:w="0" w:type="dxa"/>
              <w:left w:w="0" w:type="dxa"/>
              <w:bottom w:w="0" w:type="dxa"/>
              <w:right w:w="0" w:type="dxa"/>
            </w:tcMar>
            <w:vAlign w:val="center"/>
          </w:tcPr>
          <w:p>
            <w:pPr>
              <w:pStyle w:val="TableContents"/>
              <w:bidi w:val="0"/>
              <w:spacing w:before="0" w:after="283"/>
              <w:jc w:val="left"/>
              <w:rPr/>
            </w:pPr>
            <w:r>
              <w:rPr/>
              <w:t>Add: Income tax (benefit) / expense</w:t>
            </w:r>
          </w:p>
        </w:tc>
        <w:tc>
          <w:tcPr>
            <w:tcW w:w="1186" w:type="dxa"/>
            <w:tcBorders/>
            <w:vAlign w:val="center"/>
          </w:tcPr>
          <w:p>
            <w:pPr>
              <w:pStyle w:val="TableContents"/>
              <w:bidi w:val="0"/>
              <w:spacing w:before="0" w:after="283"/>
              <w:jc w:val="right"/>
              <w:rPr/>
            </w:pPr>
            <w:r>
              <w:rPr/>
              <w:t>261,350</w:t>
            </w:r>
          </w:p>
        </w:tc>
        <w:tc>
          <w:tcPr>
            <w:tcW w:w="1186" w:type="dxa"/>
            <w:tcBorders/>
            <w:vAlign w:val="center"/>
          </w:tcPr>
          <w:p>
            <w:pPr>
              <w:pStyle w:val="TableContents"/>
              <w:bidi w:val="0"/>
              <w:spacing w:before="0" w:after="283"/>
              <w:jc w:val="right"/>
              <w:rPr/>
            </w:pPr>
            <w:r>
              <w:rPr/>
              <w:t>45,557</w:t>
            </w:r>
          </w:p>
        </w:tc>
        <w:tc>
          <w:tcPr>
            <w:tcW w:w="1261" w:type="dxa"/>
            <w:tcBorders/>
            <w:vAlign w:val="center"/>
          </w:tcPr>
          <w:p>
            <w:pPr>
              <w:pStyle w:val="TableContents"/>
              <w:bidi w:val="0"/>
              <w:spacing w:before="0" w:after="283"/>
              <w:jc w:val="right"/>
              <w:rPr/>
            </w:pPr>
            <w:r>
              <w:rPr/>
              <w:t>—</w:t>
            </w:r>
          </w:p>
        </w:tc>
        <w:tc>
          <w:tcPr>
            <w:tcW w:w="646" w:type="dxa"/>
            <w:tcBorders/>
            <w:vAlign w:val="center"/>
          </w:tcPr>
          <w:p>
            <w:pPr>
              <w:pStyle w:val="TableContents"/>
              <w:bidi w:val="0"/>
              <w:spacing w:before="0" w:after="283"/>
              <w:jc w:val="right"/>
              <w:rPr/>
            </w:pPr>
            <w:r>
              <w:rPr/>
              <w:t> </w:t>
            </w:r>
          </w:p>
        </w:tc>
        <w:tc>
          <w:tcPr>
            <w:tcW w:w="1261" w:type="dxa"/>
            <w:tcBorders/>
            <w:vAlign w:val="center"/>
          </w:tcPr>
          <w:p>
            <w:pPr>
              <w:pStyle w:val="TableContents"/>
              <w:bidi w:val="0"/>
              <w:spacing w:before="0" w:after="283"/>
              <w:jc w:val="right"/>
              <w:rPr/>
            </w:pPr>
            <w:r>
              <w:rPr/>
              <w:t>45,557</w:t>
            </w:r>
          </w:p>
        </w:tc>
        <w:tc>
          <w:tcPr>
            <w:tcW w:w="1186" w:type="dxa"/>
            <w:tcBorders/>
            <w:vAlign w:val="center"/>
          </w:tcPr>
          <w:p>
            <w:pPr>
              <w:pStyle w:val="TableContents"/>
              <w:bidi w:val="0"/>
              <w:spacing w:before="0" w:after="283"/>
              <w:jc w:val="right"/>
              <w:rPr/>
            </w:pPr>
            <w:r>
              <w:rPr/>
              <w:t>689,498</w:t>
            </w:r>
          </w:p>
        </w:tc>
        <w:tc>
          <w:tcPr>
            <w:tcW w:w="1186" w:type="dxa"/>
            <w:tcBorders/>
            <w:vAlign w:val="center"/>
          </w:tcPr>
          <w:p>
            <w:pPr>
              <w:pStyle w:val="TableContents"/>
              <w:bidi w:val="0"/>
              <w:spacing w:before="0" w:after="283"/>
              <w:jc w:val="right"/>
              <w:rPr/>
            </w:pPr>
            <w:r>
              <w:rPr/>
              <w:t>(172,775)</w:t>
            </w:r>
          </w:p>
        </w:tc>
        <w:tc>
          <w:tcPr>
            <w:tcW w:w="1261" w:type="dxa"/>
            <w:tcBorders/>
            <w:vAlign w:val="center"/>
          </w:tcPr>
          <w:p>
            <w:pPr>
              <w:pStyle w:val="TableContents"/>
              <w:bidi w:val="0"/>
              <w:spacing w:before="0" w:after="283"/>
              <w:jc w:val="right"/>
              <w:rPr/>
            </w:pPr>
            <w:r>
              <w:rPr/>
              <w:t>—</w:t>
            </w:r>
          </w:p>
        </w:tc>
        <w:tc>
          <w:tcPr>
            <w:tcW w:w="64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(172,775)</w:t>
            </w:r>
          </w:p>
        </w:tc>
      </w:tr>
      <w:tr>
        <w:trPr/>
        <w:tc>
          <w:tcPr>
            <w:tcW w:w="1426" w:type="dxa"/>
            <w:tcBorders/>
            <w:tcMar>
              <w:top w:w="0" w:type="dxa"/>
              <w:left w:w="0" w:type="dxa"/>
              <w:bottom w:w="0" w:type="dxa"/>
              <w:right w:w="0" w:type="dxa"/>
            </w:tcMar>
            <w:vAlign w:val="center"/>
          </w:tcPr>
          <w:p>
            <w:pPr>
              <w:pStyle w:val="TableContents"/>
              <w:bidi w:val="0"/>
              <w:spacing w:before="0" w:after="283"/>
              <w:jc w:val="left"/>
              <w:rPr/>
            </w:pPr>
            <w:r>
              <w:rPr/>
              <w:t>Add: Depreciation and amortization expense</w:t>
            </w:r>
          </w:p>
        </w:tc>
        <w:tc>
          <w:tcPr>
            <w:tcW w:w="1186" w:type="dxa"/>
            <w:tcBorders/>
            <w:vAlign w:val="center"/>
          </w:tcPr>
          <w:p>
            <w:pPr>
              <w:pStyle w:val="TableContents"/>
              <w:bidi w:val="0"/>
              <w:spacing w:before="0" w:after="283"/>
              <w:jc w:val="right"/>
              <w:rPr/>
            </w:pPr>
            <w:r>
              <w:rPr/>
              <w:t>274,681</w:t>
            </w:r>
          </w:p>
        </w:tc>
        <w:tc>
          <w:tcPr>
            <w:tcW w:w="1186" w:type="dxa"/>
            <w:tcBorders/>
            <w:vAlign w:val="center"/>
          </w:tcPr>
          <w:p>
            <w:pPr>
              <w:pStyle w:val="TableContents"/>
              <w:bidi w:val="0"/>
              <w:spacing w:before="0" w:after="283"/>
              <w:jc w:val="right"/>
              <w:rPr/>
            </w:pPr>
            <w:r>
              <w:rPr/>
              <w:t>289,202</w:t>
            </w:r>
          </w:p>
        </w:tc>
        <w:tc>
          <w:tcPr>
            <w:tcW w:w="1261" w:type="dxa"/>
            <w:tcBorders/>
            <w:vAlign w:val="center"/>
          </w:tcPr>
          <w:p>
            <w:pPr>
              <w:pStyle w:val="TableContents"/>
              <w:bidi w:val="0"/>
              <w:spacing w:before="0" w:after="283"/>
              <w:jc w:val="right"/>
              <w:rPr/>
            </w:pPr>
            <w:r>
              <w:rPr/>
              <w:t>—</w:t>
            </w:r>
          </w:p>
        </w:tc>
        <w:tc>
          <w:tcPr>
            <w:tcW w:w="646" w:type="dxa"/>
            <w:tcBorders/>
            <w:vAlign w:val="center"/>
          </w:tcPr>
          <w:p>
            <w:pPr>
              <w:pStyle w:val="TableContents"/>
              <w:bidi w:val="0"/>
              <w:spacing w:before="0" w:after="283"/>
              <w:jc w:val="right"/>
              <w:rPr/>
            </w:pPr>
            <w:r>
              <w:rPr/>
              <w:t> </w:t>
            </w:r>
          </w:p>
        </w:tc>
        <w:tc>
          <w:tcPr>
            <w:tcW w:w="1261" w:type="dxa"/>
            <w:tcBorders/>
            <w:vAlign w:val="center"/>
          </w:tcPr>
          <w:p>
            <w:pPr>
              <w:pStyle w:val="TableContents"/>
              <w:bidi w:val="0"/>
              <w:spacing w:before="0" w:after="283"/>
              <w:jc w:val="right"/>
              <w:rPr/>
            </w:pPr>
            <w:r>
              <w:rPr/>
              <w:t>289,202</w:t>
            </w:r>
          </w:p>
        </w:tc>
        <w:tc>
          <w:tcPr>
            <w:tcW w:w="1186" w:type="dxa"/>
            <w:tcBorders/>
            <w:vAlign w:val="center"/>
          </w:tcPr>
          <w:p>
            <w:pPr>
              <w:pStyle w:val="TableContents"/>
              <w:bidi w:val="0"/>
              <w:spacing w:before="0" w:after="283"/>
              <w:jc w:val="right"/>
              <w:rPr/>
            </w:pPr>
            <w:r>
              <w:rPr/>
              <w:t>516,827</w:t>
            </w:r>
          </w:p>
        </w:tc>
        <w:tc>
          <w:tcPr>
            <w:tcW w:w="1186" w:type="dxa"/>
            <w:tcBorders/>
            <w:vAlign w:val="center"/>
          </w:tcPr>
          <w:p>
            <w:pPr>
              <w:pStyle w:val="TableContents"/>
              <w:bidi w:val="0"/>
              <w:spacing w:before="0" w:after="283"/>
              <w:jc w:val="right"/>
              <w:rPr/>
            </w:pPr>
            <w:r>
              <w:rPr/>
              <w:t>539,315</w:t>
            </w:r>
          </w:p>
        </w:tc>
        <w:tc>
          <w:tcPr>
            <w:tcW w:w="1261" w:type="dxa"/>
            <w:tcBorders/>
            <w:vAlign w:val="center"/>
          </w:tcPr>
          <w:p>
            <w:pPr>
              <w:pStyle w:val="TableContents"/>
              <w:bidi w:val="0"/>
              <w:spacing w:before="0" w:after="283"/>
              <w:jc w:val="right"/>
              <w:rPr/>
            </w:pPr>
            <w:r>
              <w:rPr/>
              <w:t>—</w:t>
            </w:r>
          </w:p>
        </w:tc>
        <w:tc>
          <w:tcPr>
            <w:tcW w:w="64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539,315</w:t>
            </w:r>
          </w:p>
        </w:tc>
      </w:tr>
      <w:tr>
        <w:trPr/>
        <w:tc>
          <w:tcPr>
            <w:tcW w:w="1426" w:type="dxa"/>
            <w:tcBorders/>
            <w:tcMar>
              <w:top w:w="0" w:type="dxa"/>
              <w:left w:w="0" w:type="dxa"/>
              <w:bottom w:w="0" w:type="dxa"/>
              <w:right w:w="0" w:type="dxa"/>
            </w:tcMar>
            <w:vAlign w:val="center"/>
          </w:tcPr>
          <w:p>
            <w:pPr>
              <w:pStyle w:val="TableContents"/>
              <w:bidi w:val="0"/>
              <w:spacing w:before="0" w:after="283"/>
              <w:jc w:val="left"/>
              <w:rPr/>
            </w:pPr>
            <w:r>
              <w:rPr/>
              <w:t>Add: Interest expense</w:t>
            </w:r>
          </w:p>
        </w:tc>
        <w:tc>
          <w:tcPr>
            <w:tcW w:w="118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w:t>
            </w:r>
          </w:p>
        </w:tc>
        <w:tc>
          <w:tcPr>
            <w:tcW w:w="1261" w:type="dxa"/>
            <w:tcBorders/>
            <w:vAlign w:val="center"/>
          </w:tcPr>
          <w:p>
            <w:pPr>
              <w:pStyle w:val="TableContents"/>
              <w:bidi w:val="0"/>
              <w:spacing w:before="0" w:after="283"/>
              <w:jc w:val="right"/>
              <w:rPr/>
            </w:pPr>
            <w:r>
              <w:rPr/>
              <w:t>620,925</w:t>
            </w:r>
          </w:p>
        </w:tc>
        <w:tc>
          <w:tcPr>
            <w:tcW w:w="646" w:type="dxa"/>
            <w:tcBorders/>
            <w:vAlign w:val="center"/>
          </w:tcPr>
          <w:p>
            <w:pPr>
              <w:pStyle w:val="TableContents"/>
              <w:bidi w:val="0"/>
              <w:spacing w:before="0" w:after="283"/>
              <w:jc w:val="right"/>
              <w:rPr/>
            </w:pPr>
            <w:r>
              <w:rPr/>
              <w:t> </w:t>
            </w:r>
          </w:p>
        </w:tc>
        <w:tc>
          <w:tcPr>
            <w:tcW w:w="1261" w:type="dxa"/>
            <w:tcBorders/>
            <w:vAlign w:val="center"/>
          </w:tcPr>
          <w:p>
            <w:pPr>
              <w:pStyle w:val="TableContents"/>
              <w:bidi w:val="0"/>
              <w:spacing w:before="0" w:after="283"/>
              <w:jc w:val="right"/>
              <w:rPr/>
            </w:pPr>
            <w:r>
              <w:rPr/>
              <w:t>620,925</w:t>
            </w:r>
          </w:p>
        </w:tc>
        <w:tc>
          <w:tcPr>
            <w:tcW w:w="118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w:t>
            </w:r>
          </w:p>
        </w:tc>
        <w:tc>
          <w:tcPr>
            <w:tcW w:w="1261" w:type="dxa"/>
            <w:tcBorders/>
            <w:vAlign w:val="center"/>
          </w:tcPr>
          <w:p>
            <w:pPr>
              <w:pStyle w:val="TableContents"/>
              <w:bidi w:val="0"/>
              <w:spacing w:before="0" w:after="283"/>
              <w:jc w:val="right"/>
              <w:rPr/>
            </w:pPr>
            <w:r>
              <w:rPr/>
              <w:t>1,224,101</w:t>
            </w:r>
          </w:p>
        </w:tc>
        <w:tc>
          <w:tcPr>
            <w:tcW w:w="64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1,224,101</w:t>
            </w:r>
          </w:p>
        </w:tc>
      </w:tr>
      <w:tr>
        <w:trPr/>
        <w:tc>
          <w:tcPr>
            <w:tcW w:w="1426" w:type="dxa"/>
            <w:tcBorders/>
            <w:tcMar>
              <w:top w:w="0" w:type="dxa"/>
              <w:left w:w="0" w:type="dxa"/>
              <w:bottom w:w="0" w:type="dxa"/>
              <w:right w:w="0" w:type="dxa"/>
            </w:tcMar>
            <w:vAlign w:val="center"/>
          </w:tcPr>
          <w:p>
            <w:pPr>
              <w:pStyle w:val="TableContents"/>
              <w:bidi w:val="0"/>
              <w:spacing w:before="0" w:after="283"/>
              <w:jc w:val="left"/>
              <w:rPr/>
            </w:pPr>
            <w:r>
              <w:rPr/>
              <w:t>Add: Severance expense</w:t>
            </w:r>
          </w:p>
        </w:tc>
        <w:tc>
          <w:tcPr>
            <w:tcW w:w="118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w:t>
            </w:r>
          </w:p>
        </w:tc>
        <w:tc>
          <w:tcPr>
            <w:tcW w:w="1261" w:type="dxa"/>
            <w:tcBorders/>
            <w:vAlign w:val="center"/>
          </w:tcPr>
          <w:p>
            <w:pPr>
              <w:pStyle w:val="TableContents"/>
              <w:bidi w:val="0"/>
              <w:spacing w:before="0" w:after="283"/>
              <w:jc w:val="right"/>
              <w:rPr/>
            </w:pPr>
            <w:r>
              <w:rPr/>
              <w:t>—</w:t>
            </w:r>
          </w:p>
        </w:tc>
        <w:tc>
          <w:tcPr>
            <w:tcW w:w="646" w:type="dxa"/>
            <w:tcBorders/>
            <w:vAlign w:val="center"/>
          </w:tcPr>
          <w:p>
            <w:pPr>
              <w:pStyle w:val="TableContents"/>
              <w:bidi w:val="0"/>
              <w:spacing w:before="0" w:after="283"/>
              <w:jc w:val="right"/>
              <w:rPr/>
            </w:pPr>
            <w:r>
              <w:rPr/>
              <w:t> </w:t>
            </w:r>
          </w:p>
        </w:tc>
        <w:tc>
          <w:tcPr>
            <w:tcW w:w="1261"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3,313,048</w:t>
            </w:r>
          </w:p>
        </w:tc>
        <w:tc>
          <w:tcPr>
            <w:tcW w:w="1261" w:type="dxa"/>
            <w:tcBorders/>
            <w:vAlign w:val="center"/>
          </w:tcPr>
          <w:p>
            <w:pPr>
              <w:pStyle w:val="TableContents"/>
              <w:bidi w:val="0"/>
              <w:spacing w:before="0" w:after="283"/>
              <w:jc w:val="right"/>
              <w:rPr/>
            </w:pPr>
            <w:r>
              <w:rPr/>
              <w:t>—</w:t>
            </w:r>
          </w:p>
        </w:tc>
        <w:tc>
          <w:tcPr>
            <w:tcW w:w="64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3,313,048</w:t>
            </w:r>
          </w:p>
        </w:tc>
      </w:tr>
      <w:tr>
        <w:trPr/>
        <w:tc>
          <w:tcPr>
            <w:tcW w:w="1426" w:type="dxa"/>
            <w:tcBorders/>
            <w:vAlign w:val="center"/>
          </w:tcPr>
          <w:p>
            <w:pPr>
              <w:pStyle w:val="TableContents"/>
              <w:bidi w:val="0"/>
              <w:spacing w:before="0" w:after="283"/>
              <w:jc w:val="left"/>
              <w:rPr/>
            </w:pPr>
            <w:r>
              <w:rPr>
                <w:rStyle w:val="StrongEmphasis"/>
              </w:rPr>
              <w:t>Adjusted EBITDA</w:t>
            </w:r>
          </w:p>
        </w:tc>
        <w:tc>
          <w:tcPr>
            <w:tcW w:w="1186" w:type="dxa"/>
            <w:tcBorders/>
            <w:vAlign w:val="center"/>
          </w:tcPr>
          <w:p>
            <w:pPr>
              <w:pStyle w:val="TableContents"/>
              <w:bidi w:val="0"/>
              <w:spacing w:before="0" w:after="283"/>
              <w:jc w:val="right"/>
              <w:rPr/>
            </w:pPr>
            <w:r>
              <w:rPr>
                <w:rStyle w:val="StrongEmphasis"/>
              </w:rPr>
              <w:t>3,801,826</w:t>
            </w:r>
          </w:p>
        </w:tc>
        <w:tc>
          <w:tcPr>
            <w:tcW w:w="1186" w:type="dxa"/>
            <w:tcBorders/>
            <w:vAlign w:val="center"/>
          </w:tcPr>
          <w:p>
            <w:pPr>
              <w:pStyle w:val="TableContents"/>
              <w:bidi w:val="0"/>
              <w:spacing w:before="0" w:after="283"/>
              <w:jc w:val="right"/>
              <w:rPr/>
            </w:pPr>
            <w:r>
              <w:rPr>
                <w:rStyle w:val="StrongEmphasis"/>
              </w:rPr>
              <w:t>(3,328,726)</w:t>
            </w:r>
          </w:p>
        </w:tc>
        <w:tc>
          <w:tcPr>
            <w:tcW w:w="1261" w:type="dxa"/>
            <w:tcBorders/>
            <w:vAlign w:val="center"/>
          </w:tcPr>
          <w:p>
            <w:pPr>
              <w:pStyle w:val="TableContents"/>
              <w:bidi w:val="0"/>
              <w:spacing w:before="0" w:after="283"/>
              <w:jc w:val="right"/>
              <w:rPr/>
            </w:pPr>
            <w:r>
              <w:rPr>
                <w:rStyle w:val="StrongEmphasis"/>
              </w:rPr>
              <w:t>(24,094,980)</w:t>
            </w:r>
          </w:p>
        </w:tc>
        <w:tc>
          <w:tcPr>
            <w:tcW w:w="646" w:type="dxa"/>
            <w:tcBorders/>
            <w:vAlign w:val="center"/>
          </w:tcPr>
          <w:p>
            <w:pPr>
              <w:pStyle w:val="TableContents"/>
              <w:bidi w:val="0"/>
              <w:spacing w:before="0" w:after="283"/>
              <w:jc w:val="right"/>
              <w:rPr/>
            </w:pPr>
            <w:r>
              <w:rPr/>
              <w:t> </w:t>
            </w:r>
          </w:p>
        </w:tc>
        <w:tc>
          <w:tcPr>
            <w:tcW w:w="1261" w:type="dxa"/>
            <w:tcBorders/>
            <w:vAlign w:val="center"/>
          </w:tcPr>
          <w:p>
            <w:pPr>
              <w:pStyle w:val="TableContents"/>
              <w:bidi w:val="0"/>
              <w:spacing w:before="0" w:after="283"/>
              <w:jc w:val="right"/>
              <w:rPr/>
            </w:pPr>
            <w:r>
              <w:rPr>
                <w:rStyle w:val="StrongEmphasis"/>
              </w:rPr>
              <w:t>(27,423,706)</w:t>
            </w:r>
          </w:p>
        </w:tc>
        <w:tc>
          <w:tcPr>
            <w:tcW w:w="1186" w:type="dxa"/>
            <w:tcBorders/>
            <w:vAlign w:val="center"/>
          </w:tcPr>
          <w:p>
            <w:pPr>
              <w:pStyle w:val="TableContents"/>
              <w:bidi w:val="0"/>
              <w:spacing w:before="0" w:after="283"/>
              <w:jc w:val="right"/>
              <w:rPr/>
            </w:pPr>
            <w:r>
              <w:rPr>
                <w:rStyle w:val="StrongEmphasis"/>
              </w:rPr>
              <w:t>6,292,057</w:t>
            </w:r>
          </w:p>
        </w:tc>
        <w:tc>
          <w:tcPr>
            <w:tcW w:w="1186" w:type="dxa"/>
            <w:tcBorders/>
            <w:vAlign w:val="center"/>
          </w:tcPr>
          <w:p>
            <w:pPr>
              <w:pStyle w:val="TableContents"/>
              <w:bidi w:val="0"/>
              <w:spacing w:before="0" w:after="283"/>
              <w:jc w:val="right"/>
              <w:rPr/>
            </w:pPr>
            <w:r>
              <w:rPr>
                <w:rStyle w:val="StrongEmphasis"/>
              </w:rPr>
              <w:t>1,072,906</w:t>
            </w:r>
          </w:p>
        </w:tc>
        <w:tc>
          <w:tcPr>
            <w:tcW w:w="1261" w:type="dxa"/>
            <w:tcBorders/>
            <w:vAlign w:val="center"/>
          </w:tcPr>
          <w:p>
            <w:pPr>
              <w:pStyle w:val="TableContents"/>
              <w:bidi w:val="0"/>
              <w:spacing w:before="0" w:after="283"/>
              <w:jc w:val="right"/>
              <w:rPr/>
            </w:pPr>
            <w:r>
              <w:rPr>
                <w:rStyle w:val="StrongEmphasis"/>
              </w:rPr>
              <w:t>(15,175,531)</w:t>
            </w:r>
          </w:p>
        </w:tc>
        <w:tc>
          <w:tcPr>
            <w:tcW w:w="64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rStyle w:val="StrongEmphasis"/>
              </w:rPr>
              <w:t>(14,102,625)</w:t>
            </w:r>
          </w:p>
        </w:tc>
      </w:tr>
      <w:tr>
        <w:trPr/>
        <w:tc>
          <w:tcPr>
            <w:tcW w:w="1426" w:type="dxa"/>
            <w:tcBorders/>
            <w:vAlign w:val="center"/>
          </w:tcPr>
          <w:p>
            <w:pPr>
              <w:pStyle w:val="TableContents"/>
              <w:bidi w:val="0"/>
              <w:spacing w:before="0" w:after="283"/>
              <w:jc w:val="left"/>
              <w:rPr/>
            </w:pPr>
            <w:r>
              <w:rPr>
                <w:rStyle w:val="StrongEmphasis"/>
              </w:rPr>
              <w:t>Adjusted EBITDA margin</w:t>
            </w:r>
          </w:p>
        </w:tc>
        <w:tc>
          <w:tcPr>
            <w:tcW w:w="1186" w:type="dxa"/>
            <w:tcBorders/>
            <w:vAlign w:val="center"/>
          </w:tcPr>
          <w:p>
            <w:pPr>
              <w:pStyle w:val="TableContents"/>
              <w:bidi w:val="0"/>
              <w:spacing w:before="0" w:after="283"/>
              <w:jc w:val="right"/>
              <w:rPr/>
            </w:pPr>
            <w:r>
              <w:rPr>
                <w:rStyle w:val="StrongEmphasis"/>
              </w:rPr>
              <w:t>22%</w:t>
            </w:r>
          </w:p>
        </w:tc>
        <w:tc>
          <w:tcPr>
            <w:tcW w:w="1186" w:type="dxa"/>
            <w:tcBorders/>
            <w:vAlign w:val="center"/>
          </w:tcPr>
          <w:p>
            <w:pPr>
              <w:pStyle w:val="TableContents"/>
              <w:bidi w:val="0"/>
              <w:spacing w:before="0" w:after="283"/>
              <w:jc w:val="right"/>
              <w:rPr/>
            </w:pPr>
            <w:r>
              <w:rPr>
                <w:rStyle w:val="StrongEmphasis"/>
              </w:rPr>
              <w:t>(27%)</w:t>
            </w:r>
          </w:p>
        </w:tc>
        <w:tc>
          <w:tcPr>
            <w:tcW w:w="1261" w:type="dxa"/>
            <w:tcBorders/>
            <w:vAlign w:val="center"/>
          </w:tcPr>
          <w:p>
            <w:pPr>
              <w:pStyle w:val="TableContents"/>
              <w:bidi w:val="0"/>
              <w:spacing w:before="0" w:after="283"/>
              <w:jc w:val="right"/>
              <w:rPr/>
            </w:pPr>
            <w:r>
              <w:rPr>
                <w:rStyle w:val="StrongEmphasis"/>
              </w:rPr>
              <w:t>—</w:t>
            </w:r>
          </w:p>
        </w:tc>
        <w:tc>
          <w:tcPr>
            <w:tcW w:w="646" w:type="dxa"/>
            <w:tcBorders/>
            <w:vAlign w:val="center"/>
          </w:tcPr>
          <w:p>
            <w:pPr>
              <w:pStyle w:val="TableContents"/>
              <w:bidi w:val="0"/>
              <w:spacing w:before="0" w:after="283"/>
              <w:jc w:val="right"/>
              <w:rPr/>
            </w:pPr>
            <w:r>
              <w:rPr/>
              <w:t> </w:t>
            </w:r>
          </w:p>
        </w:tc>
        <w:tc>
          <w:tcPr>
            <w:tcW w:w="1261" w:type="dxa"/>
            <w:tcBorders/>
            <w:vAlign w:val="center"/>
          </w:tcPr>
          <w:p>
            <w:pPr>
              <w:pStyle w:val="TableContents"/>
              <w:bidi w:val="0"/>
              <w:spacing w:before="0" w:after="283"/>
              <w:jc w:val="right"/>
              <w:rPr/>
            </w:pPr>
            <w:r>
              <w:rPr>
                <w:rStyle w:val="StrongEmphasis"/>
              </w:rPr>
              <w:t>(225%)</w:t>
            </w:r>
          </w:p>
        </w:tc>
        <w:tc>
          <w:tcPr>
            <w:tcW w:w="1186" w:type="dxa"/>
            <w:tcBorders/>
            <w:vAlign w:val="center"/>
          </w:tcPr>
          <w:p>
            <w:pPr>
              <w:pStyle w:val="TableContents"/>
              <w:bidi w:val="0"/>
              <w:spacing w:before="0" w:after="283"/>
              <w:jc w:val="right"/>
              <w:rPr/>
            </w:pPr>
            <w:r>
              <w:rPr>
                <w:rStyle w:val="StrongEmphasis"/>
              </w:rPr>
              <w:t>21%</w:t>
            </w:r>
          </w:p>
        </w:tc>
        <w:tc>
          <w:tcPr>
            <w:tcW w:w="1186" w:type="dxa"/>
            <w:tcBorders/>
            <w:vAlign w:val="center"/>
          </w:tcPr>
          <w:p>
            <w:pPr>
              <w:pStyle w:val="TableContents"/>
              <w:bidi w:val="0"/>
              <w:spacing w:before="0" w:after="283"/>
              <w:jc w:val="right"/>
              <w:rPr/>
            </w:pPr>
            <w:r>
              <w:rPr>
                <w:rStyle w:val="StrongEmphasis"/>
              </w:rPr>
              <w:t>3%</w:t>
            </w:r>
          </w:p>
        </w:tc>
        <w:tc>
          <w:tcPr>
            <w:tcW w:w="1261" w:type="dxa"/>
            <w:tcBorders/>
            <w:vAlign w:val="center"/>
          </w:tcPr>
          <w:p>
            <w:pPr>
              <w:pStyle w:val="TableContents"/>
              <w:bidi w:val="0"/>
              <w:spacing w:before="0" w:after="283"/>
              <w:jc w:val="right"/>
              <w:rPr/>
            </w:pPr>
            <w:r>
              <w:rPr>
                <w:rStyle w:val="StrongEmphasis"/>
              </w:rPr>
              <w:t>—</w:t>
            </w:r>
          </w:p>
        </w:tc>
        <w:tc>
          <w:tcPr>
            <w:tcW w:w="64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rStyle w:val="StrongEmphasis"/>
              </w:rPr>
              <w:t>(43%)</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Wingdings">
    <w:charset w:val="02"/>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decimal"/>
      <w:lvlText w:val="%1."/>
      <w:lvlJc w:val="left"/>
      <w:pPr>
        <w:tabs>
          <w:tab w:val="num" w:pos="720"/>
        </w:tabs>
        <w:ind w:left="720" w:hanging="360"/>
      </w:pPr>
    </w:lvl>
    <w:lvl w:ilvl="1">
      <w:start w:val="1"/>
      <w:numFmt w:val="bullet"/>
      <w:lvlText w:val=""/>
      <w:lvlJc w:val="left"/>
      <w:pPr>
        <w:tabs>
          <w:tab w:val="num" w:pos="1429"/>
        </w:tabs>
        <w:ind w:left="1429" w:hanging="360"/>
      </w:pPr>
      <w:rPr>
        <w:rFonts w:ascii="Wingdings" w:hAnsi="Wingdings" w:cs="Wingdings"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character" w:styleId="Emphasis">
    <w:name w:val="Emphasis"/>
    <w:qFormat/>
    <w:rPr>
      <w:i/>
      <w:iCs/>
    </w:rPr>
  </w:style>
  <w:style w:type="character" w:styleId="NumberingSymbols">
    <w:name w:val="Numbering Symbols"/>
    <w:qFormat/>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2555</Words>
  <Characters>16750</Characters>
  <CharactersWithSpaces>18899</CharactersWithSpaces>
  <Paragraphs>929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