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July 2, 2026</w:t>
      </w:r>
    </w:p>
    <w:p>
      <w:pPr>
        <w:spacing w:after="0" w:line="23" w:lineRule="exact"/>
        <w:rPr>
          <w:sz w:val="24"/>
          <w:szCs w:val="24"/>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Registration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196"/>
        </w:trPr>
        <w:tc>
          <w:tcPr>
            <w:tcW w:w="5520" w:type="dxa"/>
            <w:vAlign w:val="bottom"/>
            <w:tcBorders>
              <w:top w:val="single" w:sz="8" w:color="auto"/>
            </w:tcBorders>
          </w:tcPr>
          <w:p>
            <w:pPr>
              <w:jc w:val="center"/>
              <w:ind w:right="30"/>
              <w:spacing w:after="0" w:line="195"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5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137160</wp:posOffset>
            </wp:positionV>
            <wp:extent cx="53492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Antalpha Platform Holding Company</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7 Temasek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Suntec Tower 1, #31-02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038987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+65 6513 8815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communications, including communications sent to agent for service, should be sent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Alan D. Seem,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Ekberg, Fagre &amp; Seem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384 North Clark Ave.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Los Altos, CA 94022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+1 (650) 391-3709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216" w:right="339" w:bottom="0" w:gutter="0" w:footer="0" w:header="0"/>
        </w:sectPr>
      </w:pPr>
    </w:p>
    <w:bookmarkStart w:id="1" w:name="page2"/>
    <w:bookmarkEnd w:id="1"/>
    <w:p>
      <w:pPr>
        <w:ind w:left="340" w:hanging="332"/>
        <w:spacing w:after="0" w:line="284"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jc w:val="both"/>
        <w:ind w:left="140" w:right="120"/>
        <w:spacing w:after="0" w:line="267" w:lineRule="auto"/>
        <w:rPr>
          <w:sz w:val="20"/>
          <w:szCs w:val="20"/>
          <w:color w:val="auto"/>
        </w:rPr>
      </w:pPr>
      <w:r>
        <w:rPr>
          <w:rFonts w:ascii="Times New Roman" w:cs="Times New Roman" w:eastAsia="Times New Roman" w:hAnsi="Times New Roman"/>
          <w:sz w:val="18"/>
          <w:szCs w:val="18"/>
          <w:i w:val="1"/>
          <w:iCs w:val="1"/>
          <w:color w:val="FF0000"/>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65785"/>
                    </a:xfrm>
                    <a:prstGeom prst="rect">
                      <a:avLst/>
                    </a:prstGeom>
                    <a:noFill/>
                  </pic:spPr>
                </pic:pic>
              </a:graphicData>
            </a:graphic>
          </wp:anchor>
        </w:drawing>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FF0000"/>
        </w:rPr>
        <w:t>PRELIMINARY PROSPECTUS (</w:t>
      </w:r>
      <w:r>
        <w:rPr>
          <w:rFonts w:ascii="Times New Roman" w:cs="Times New Roman" w:eastAsia="Times New Roman" w:hAnsi="Times New Roman"/>
          <w:sz w:val="18"/>
          <w:szCs w:val="18"/>
          <w:b w:val="1"/>
          <w:bCs w:val="1"/>
          <w:i w:val="1"/>
          <w:iCs w:val="1"/>
          <w:color w:val="FF0000"/>
        </w:rPr>
        <w:t>Subject to completion)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0000"/>
        </w:rPr>
        <w:t>Dated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154305</wp:posOffset>
            </wp:positionV>
            <wp:extent cx="2871470" cy="659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7147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 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in one or more offerings, offer and sell up to $100,000,000 in aggregate amount of (i) our Class A ordinary shares, par value $0.001 per share (“</w:t>
      </w:r>
      <w:r>
        <w:rPr>
          <w:rFonts w:ascii="Times New Roman" w:cs="Times New Roman" w:eastAsia="Times New Roman" w:hAnsi="Times New Roman"/>
          <w:sz w:val="18"/>
          <w:szCs w:val="18"/>
          <w:i w:val="1"/>
          <w:iCs w:val="1"/>
          <w:color w:val="auto"/>
        </w:rPr>
        <w:t>Class A ordinary shares</w:t>
      </w:r>
      <w:r>
        <w:rPr>
          <w:rFonts w:ascii="Times New Roman" w:cs="Times New Roman" w:eastAsia="Times New Roman" w:hAnsi="Times New Roman"/>
          <w:sz w:val="18"/>
          <w:szCs w:val="18"/>
          <w:color w:val="auto"/>
        </w:rPr>
        <w:t>”); (ii) debt securities, in one or more series, which may be senior or subordinated debt securities; and (iii) warrants to purchase our ordinary shares or debt securities (collectively,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We may also offer securities of the types listed above that are convertible or exchangeable into one or more of the other types of securities listed above. The securities may be offered separately or together, in separate classes or series and in amounts, at prices and on terms described in one or more supplements to this prospectus.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pursuant to this prospectus, we will provide a prospectus supplement and attach it to this prospectus. The prospectus supplement will contain more specific information about the offering.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herein and therein, before you invest in any of the securities being offered.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offer and sell the securities on a continuous or delayed basis directly to investors or through underwriters, dealers or agents, or through a combination of these methods, in amounts, at prices and on terms determined at the time of the offering, including in connection with an “at the market” offering. The names of any underwriters, dealers or agents involved in the sale of any securities, the specific manner in which they may be offered and any applicable commissions or discounts will be set forth in the prospectus supplement covering the sale of those securities. For general information about the distribution of the securities offered,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Class A ordinary shares are listed on the Nasdaq Global Market under the symbol “ANTA.” On July 1, 2026, the last reported sale price of our Class A ordinary shares on the Nasdaq Global Market was $5.20 per share. There is currently no market for the other securities that we may offer hereunder. Each prospectus supplement will indicate whether the securities offered thereby will be listed on any securities exchange.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as an exempted company with limited liability under the laws of the Cayman Islands. As a holding company with no material operations of our own, we conduct our operations through our subsidiaries. Investors in our securities are purchasing equity interests in a Cayman Islands holding company. This structure involves unique risks to investors.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 of this prospectus and in the documents incorporated by reference herein.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both an “emerging growth company” as that term is used in the Jumpstart Our Business Startups Act of 2012, and a “foreign private issuer” as defined under the rules of the U.S. Securities and Exchange Commission, and are subject to reduced public company reporting requirements. See “</w:t>
      </w:r>
      <w:r>
        <w:rPr>
          <w:rFonts w:ascii="Times New Roman" w:cs="Times New Roman" w:eastAsia="Times New Roman" w:hAnsi="Times New Roman"/>
          <w:sz w:val="18"/>
          <w:szCs w:val="18"/>
          <w:i w:val="1"/>
          <w:iCs w:val="1"/>
          <w:color w:val="auto"/>
        </w:rPr>
        <w:t>Prospectus Summary—Implications of Being an Emerging Growth Company and a Foreign Private Issuer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4 of this prospectus and the risk factors contained in the documents incorporated by reference herein, including our most recent Annual Report on Form 20-F, for a discussion of certain risks that you should consider before purchasing any of the securities offered hereby.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9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439"/>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2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840" w:type="dxa"/>
            <w:vAlign w:val="bottom"/>
            <w:shd w:val="clear" w:color="auto" w:fill="CCEEFF"/>
          </w:tcPr>
          <w:p>
            <w:pPr>
              <w:ind w:left="630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840" w:type="dxa"/>
            <w:vAlign w:val="bottom"/>
            <w:shd w:val="clear" w:color="auto" w:fill="CCEEFF"/>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40" w:type="dxa"/>
            <w:vAlign w:val="bottom"/>
            <w:shd w:val="clear" w:color="auto" w:fill="CCEEFF"/>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840" w:type="dxa"/>
            <w:vAlign w:val="bottom"/>
            <w:shd w:val="clear" w:color="auto" w:fill="CCEEFF"/>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6840" w:type="dxa"/>
            <w:vAlign w:val="bottom"/>
            <w:shd w:val="clear" w:color="auto" w:fill="CCEEFF"/>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840" w:type="dxa"/>
            <w:vAlign w:val="bottom"/>
            <w:shd w:val="clear" w:color="auto" w:fill="CCEEFF"/>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6840" w:type="dxa"/>
            <w:vAlign w:val="bottom"/>
            <w:shd w:val="clear" w:color="auto" w:fill="CCEEFF"/>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840" w:type="dxa"/>
            <w:vAlign w:val="bottom"/>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6840" w:type="dxa"/>
            <w:vAlign w:val="bottom"/>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840" w:type="dxa"/>
            <w:vAlign w:val="bottom"/>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840" w:type="dxa"/>
            <w:vAlign w:val="bottom"/>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840" w:type="dxa"/>
            <w:vAlign w:val="bottom"/>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96"/>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840" w:type="dxa"/>
            <w:vAlign w:val="bottom"/>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r>
      <w:tr>
        <w:trPr>
          <w:trHeight w:val="175"/>
        </w:trPr>
        <w:tc>
          <w:tcPr>
            <w:tcW w:w="44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6840" w:type="dxa"/>
            <w:vAlign w:val="bottom"/>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U.S. Securities and Exchange Commission, or the SEC, using a “shelf” registration process. By using a shelf registration statement, we may sell, from time to time, in one or more offerings, the securities described in this prospectus. This prospectus only provides you with a general description of the securities we may offer. Each time we sell securities pursuant to this prospectus, we will provide a prospectus supplement that will contain specific information about the terms of that offering. The prospectus supplement may also add to, update or change information contained in this prospectus. If there is any inconsistency between the information in this prospectus and any prospectus supplement, you should rely on the information in the prospectus supplement. You should read both this prospectus and any applicable prospectus supplement, together with the additional information described under the heading “Where You Can Find More Information,” before investing in any of the securities offered.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 other than those contained in or incorporated by reference into this prospectus, any accompanying prospectus supplement or in any free writing prospectus prepared by or on behalf of us or to which we have referred you. We take no responsibility for, and can provide no assurance as to the reliability of, any other information that others may give you. We are not making an offer to sell the securities in any jurisdiction in which the offer or sale is not permitted. You should not assume that the information contained in or incorporated by reference into this prospectus or any prospectus supplement or in any such free writing prospectus is accurate as of any date other than the respective dates thereof. Our business, financial condition, results of operations and prospects may have changed since those dates.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w:t>
      </w:r>
    </w:p>
    <w:p>
      <w:pPr>
        <w:spacing w:after="0" w:line="223" w:lineRule="exact"/>
        <w:rPr>
          <w:sz w:val="20"/>
          <w:szCs w:val="20"/>
          <w:color w:val="auto"/>
        </w:rPr>
      </w:pPr>
    </w:p>
    <w:p>
      <w:pPr>
        <w:ind w:left="980" w:hanging="324"/>
        <w:spacing w:after="0" w:line="284"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Antalpha</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are to Antalpha Platform Holding Company, an exempted company with limited liability incorporated under the laws of the Cayman Islands, and, where the context requires, its consolidated subsidiaries;</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are to our Class A ordinary shares, par value $0.001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is to the Nasdaq Global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is to the U.S. Securities and Exchange Commission;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is to the U.S. Securities Act of 1933, as amended;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is to the U.S. Securities Exchange Act of 1934, as amended.</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reporting and functional currency is the U.S. dollar. References in this prospectus to “$”, “US$” and “U.S. dollars” are to the lawful currency of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5910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591058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that is presented in greater detail elsewhere in this prospectus, or incorporated by reference into this prospectus. This summary does not contain all of the information that you should consider in making your investment decision. Before investing in any of our securities, you should carefully read this entire prospectus, including the section entitled “Risk Factors” and the financial statements and related notes and other information incorporated by reference into this prospectus, including our most recent Annual Report on Form 20-F. This prospectus contains certain estimates and information based on industry publications, surveys, and forecasts. This information involves a number of assumptions, estimates and limitations.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financing, technology and risk management solutions to the digital asset industry. As the primary lending partner for Bitmain, we are a provider of supply chain financing solutions to institutional and corporate participants in the Bitcoin mining industry, offering loans secured by Bitcoin and Bitcoin mining machines. We have developed a technology platform, Antalpha Prime, which enables our customers to apply for and manage their digital asset loans while allowing us to closely monitor collateral positions.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empower institutions and corporations to expand their Bitcoin mining business with immediate access to mining machines and sizable financing that is not readily available from conventional financial institutions. We enable Bitcoin miners to find liquidity with loans on capital expenditures and operating costs so that they can hold onto their Bitcoin and better endure the market volatility of Bitcoin prices, also known as HODLing. Supply chain financing for the Bitcoin mining industry represents a significant and largely untapped market opportunity.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are actively exploring potential opportunities in the artificial intelligence space, where we see meaningful alignment with our existing capabilities and long-term vision. Drawing on our deep expertise in supply chain financing, our strong network of technology and infrastructure partners, and our proven risk management framework, we believe we are well-positioned to extend our reach into AI-related ecosystems. While we are still assessing specific product configurations, we envision the possibility of developing tailored financing, technology, or platform solutions that support the growth of AI infrastructure and applications. We look forward to unlocking new value for our clients and partners by bridging the gap between traditional financing structures and the next generation of computing-driven industries, without limiting ourselves to any single use case or business model.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been developing, as a natural extension of our technology platform, a Web3 AI agent, which is a new product designed to enable users to interact with blockchain networks, access on-chain data and execute crypto-related tasks through natural language. The initiative builds directly on our established position at the intersection of crypto financing, blockchain data and compute infrastructure, extending these capabilities into an adjacent opportunity. We believe our deep Web3 domain expertise and existing client relationships within the Bitcoin mining ecosystem provide a natural and differentiated foundation for this development.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May 2026, we launched an early-stage version of the product in beta, and initial market testing is in process. We are currently focused on product development and market validation. Financial impact—from both a revenue and expense perspective—is not expected to be material in the near term.</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2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7007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7007860"/>
                    </a:xfrm>
                    <a:prstGeom prst="rect">
                      <a:avLst/>
                    </a:prstGeom>
                    <a:noFill/>
                  </pic:spPr>
                </pic:pic>
              </a:graphicData>
            </a:graphic>
          </wp:anchor>
        </w:drawing>
        <w:t>Corporate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Antalpha Platform Holding Company was incorporated in the Cayman Islands in August 2023 as an exempted company with limited liability. Our principal executive offices are located at 7 Temasek Boulevard, Suntec Tower 1, #31-02, Singapore 038987. Our telephone number at this address is +65 6513 8815. Our agent for service of process in the United States is Cogency Global Inc., located at 122 East 42nd Street, 18th Floor, New York, New York 10168.</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website address is https://www.antalpha.com. The information contained on, or that can be accessed through, our website is not a part of, and is not incorporated into,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of 2002. As a result, our shareholders may not have access to certain information they may deem important. We could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report under the Exchange Act as a “foreign private issuer.” As a foreign private issuer, we may take advantage of certain provisions under the rules that allow us to follow Cayman Islands law for certain corporate governance matters. Even when we no longer qualify as an emerging growth company, as long as we continue to qualify as a foreign private issuer under the Exchange Act, we will be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(iii) the rules under the Exchange Act requiring the filing with the SEC of quarterly reports on Form 10-Q containing unaudited financial and other specified information, or current reports on Form 8-K, upon the occurrence of specified significant events; and (iv) the selective disclosure rules by issuers of material non-public information under Regulation FD.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Foreign private issuers, like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Antalpha Technologies Holding Company beneficially owns approximately 62.5% of our outstanding Class A ordinary shares as of May 31, 2026. As a result, we are a “controlled company” within the meaning of the Nasdaq Stock Market’s corporate governance rules. Antalpha Technologies Holding Company is in turn controlled by Mr. Andrea Dal Mas, Ms. Yuan Fang and Ms. Anggun Mulia Fortunata in equal proportion. So long as Antalpha Technologies Holding Company holds more than 50% of the voting power for the election of our directors, we are eligible to elect not to comply with certain Nasdaq corporate governance requirements, including the requirements that (i) a majority of our board of directors consist of independent directors (Nasdaq Rule 5605(b)(1)), (ii) our compensation committee be composed entirely of independent directors (Nasdaq Rule 5605(d)), and (iii) our director nominations be made, or recommended to the full board of directors, by independent directors constituting a majority of the board’s independent directors or by a nominations committee comprised solely of independent directors (Nasdaq Rule 5605(e)). To the extent we rely on any such exemptions in the future, you will not have the same protections afforded to shareholders of companies that are subject to such corporate governance requirements. For a description of the corporate governance exemptions on which we currently rely, see the discussion under “Item 16G. Corporate Governance” in our most recent Annual Report on Form 20-F, which is incorporated by reference into this prospectus.</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2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6459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020" cy="6459220"/>
                    </a:xfrm>
                    <a:prstGeom prst="rect">
                      <a:avLst/>
                    </a:prstGeom>
                    <a:noFill/>
                  </pic:spPr>
                </pic:pic>
              </a:graphicData>
            </a:graphic>
          </wp:anchor>
        </w:drawing>
        <w:t>The Securities We May Offer</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We may offer and sell, from time to time pursuant to this prospectus, our Class A ordinary shares, debt securities and warrants, in each case, in one or more offerings. The securities may be offered separately or together, in separate classes or series and in amounts, at prices and on terms described in one or more prospectus supplements. The prospectus supplement and any related free writing prospectus may also add, update or change information contained in this prospectus. We may also authorize one or more free writing prospectuses to be provided to you in connection with each offering.</w:t>
      </w:r>
    </w:p>
    <w:p>
      <w:pPr>
        <w:spacing w:after="0" w:line="1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prospectus supplement and any related free writing prospectus that we may authorize to be provided to you may also add, update or change information contained in this prospectus. However, no prospectus supplement or free writing prospectus will offer a security that is not registered and described in this prospectus at the time of its effectiveness. We may sell the securities directly or through agents, dealers or underwriters as designated from time to time, or through a combination of these methods. We, as well as any agents acting on our behalf, reserve the sole right to accept or to reject in whole or in part any proposed purchase of the securities. Each prospectus supplement will set forth the names of any underwriters, dealers, agents or other entities involved in the sale of securities described in that prospectus supplement and any applicable fee, commission or discount arrangements with them. For more information, see “Plan of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offer Class A ordinary shares, par value $0.001 per share. Holders of our Class A ordinary shares are entitled to certain rights and are subject to certain limitations and restrictions as set forth under “Description of Share Capital”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debt securities from time to time, in one or more series, which may be senior, senior subordinated or subordinated debt securities. The debt securities will be issued under an indenture to be entered into between us and a trustee qualified to act as such under the Trust Indenture Act of 1939, as amended. A form of the indenture is included as an exhibit to the registration statement of which this prospectus forms a part. The terms of any particular series of debt securities will be set forth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warrants for the purchase of our ordinary shares or debt securities, in one or more series. We may issue warrants independently or together with any of our ordinary shares or debt securities, and the warrants may be attached to or separate from such securities. The warrants will be evidenced by warrant certificates or by book-entry registration and may be issued under one or more warrant agreements between us and a warrant agent that we will name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may otherwise be described in the applicable prospectus supplement relating to an offering of securities, we currently intend to use the net proceeds from the sale of the securities offered by this prospectus for general corporate purposes. See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substantial risk. You should carefully consider the risks identified under “Risk Factors” in this prospectus, the applicable prospectus supplement and the documents incorporated by reference herein and therein, including our most recent Annual Report on Form 20-F, before making an investment decision.</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22"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making an investment decision, you should carefully consider the risks described under “Risk Factors” in our most recent Annual Report on Form 20-F, as well as the other information contained in this prospectus, as updated by our subsequent filings under the Exchange Act, and the risk factors and other information contained in any applicable prospectus supplement and in any related free writing prospectus, before making a decision about investing in our Class A ordinary shares. The risks and uncertainties discussed in the documents referred to above, as well as other matters discussed in those documents and in this prospectus, could materially and adversely affect our business, financial condition, liquidity, results of operations, capital position and prospects. As a result, the market or trading price of our securities could decline and you could lose all or part of your investment. Additional risks and uncertainties not presently known to us or that we currently deem immaterial may also impair our business operations. Please also read carefully the section below entitled “Cautionary Note Regarding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Class A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issuances.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Class A ordinary shares, warrants or other securities convertible into or exchangeable for our Class A ordinary shares at prices that may not be the same as the price per share in prior offerings. We may sell shares or other securities in any other offering at a price per share that is less than the price per share paid by investors in prior offerings,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in prior offerings.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our sale of securities and might not apply the proceeds in ways that increase the value of your investment.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including for any of the purposes described in the section of any applicable prospectus supplement entitled “Use of Proceeds.” You may not agree with the manner in which our management chooses to allocate and spend the net proceeds. The failure by our management to apply these funds effectively could harm our business, financial condition and results of operations. Pending their use, we may invest the net proceeds from any offering in a manner that does not produce income or that loses value. The investment of these proceeds may not yield a favorable return to our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Class A ordinary shares sold in any offering, you may experience immediate and substantial dilution in net tangible book value.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price per Class A ordinary share being offered may be higher than the net tangible book value per share of our issued and outstanding Class A ordinary shares prior to such offering. Assuming that we sell Class A ordinary shares in an offering at a price exceeding the net tangible book value per Class A ordinary share, you will suffer immediate and substantial dilution in the net tangible book value of the Class A ordinary shares you purchase in such offering. The exercise of outstanding share options and warrants, if any, may result in further dilution of your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our Class A ordinary shares in the public markets, or the perception of such sales, could depress the market price of our Class A ordinary shares.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our Class A ordinary shares in the public markets, or the perception that such sales could occur, could depress the market price of our Class A ordinary shares and impair our ability to raise capital through the sale of additional equity securities. We cannot predict the effect that future sales of our Class A ordinary shares or other equity-related securities would have on the market price of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ordinary shares may be volatile.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our Class A ordinary shares could be subject to wide fluctuations in response to many risk factors listed in this section, and others beyond our control, including those described under “Risk Factors” in our most recent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debt securities that would rank senior to our Class A ordinary shares upon our liquidation.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permitted, subject to the terms of our memorandum and articles of association and any contractual restrictions, to issue debt securities that would rank senior to our Class A ordinary shares upon our liquidation. Upon our liquidation, holders of debt securities and lenders with respect to our outstanding borrowings, if any, would receive distributions of our available assets prior to holders of our ordinary shares. Future offerings of debt or senior equity securities may adversely affect the market price of our ordinary shares.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exploring opportunities in the artificial intelligence space. These initiatives are at an early stage, may not succeed, and could expose us to additional risks.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actively exploring potential opportunities in the artificial intelligence space, including the development of a Web3 AI agent. In May 2026, we launched an early-stage beta version of this product and are currently focused on product development and market validation. These initiatives are at a very early stage, and their ultimate success remains uncertain.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artificial intelligence and Web3 markets are characterized by rapidly evolving technologies, emerging and uncertain regulatory frameworks, shifting industry standards, and intense competition from both established technology companies and new entrants. We cannot assure you that our AI initiatives, including our Web3 AI agent, will achieve commercial viability, gain market acceptance, or generate meaningful revenue. Even if the product is successfully developed, it may not achieve the functionality, performance, or user adoption necessary to be competitive.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these initiatives are not core to our existing supply chain financing business, they may require significant management attention, financial resources and technical expertise that could divert resources from our established operations. The financial impact—from both a revenue and expense perspective—is not expected to be material in the near term, but we could incur unforeseen development costs, technical challenges or liability exposures.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face regulatory uncertainty as both AI and blockchain technologies continue to evolve. Changes in laws or regulatory guidance regarding AI systems, data privacy, crypto assets or automated decision-making could limit our ability to develop, offer or scale these initiatives. There can be no assurance that our AI initiatives will ultimately align with applicable regulations or that we will not be subject to enforcement actions, fines or other penalties.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early stage of these initiatives, the rapidly changing market conditions and the inherent uncertainties in developing new technologies, we cannot provide any assurance that our AI and Web3 AI agent initiatives will be successful or that they will contribute positively to our business, financial condition or results of operations. We may ultimately decide to scale back, restructure or discontinue these initiatives entirely.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contains, and any applicable prospectus supplement and the documents incorporated by reference herein and therein contain or will contain, forward-looking statements that involve substantial risks and uncertainties. All statements other than statements of historical facts contained in this prospectus, including statements regarding our future financial position, results of operations, business strategy, projected costs, prospects, plans and objectives of management, are forward-looking statements. The words “anticipate,” “believe,” “continue,” “could,” “estimate,” “expect,” “intend,” “may,” “might,” “plan,” “potential,” “predict,” “project,” “should,” “target,” “will,” “would” or the negative of these terms or other similar expressions are intended to identify forward-looking statements, although not all forward-looking statements contain these identifying words.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those discussed in “Risk Factors” in this prospectus, the applicable prospectus supplement and in the documents incorporated by reference herein and therein.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Any forward-looking statement made by us in this prospectus or any prospectus supplement speaks only as of the date on which we make it. Factors or events that could cause our actual results to differ may emerge from time to time, and it is not possible for us to predict all of them. We undertake no obligation to publicly update any forward-looking statements, whether as a result of new information, future developments or otherwise, except as may be required under applicable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incorporated in the Cayman Islands as an exempted company with limited liability in order to enjoy the following benefits:</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225"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of our directors and executive officers are nationals or residents of jurisdictions other than the United States and a substantial portion of our assets and the assets of these persons are located outside the United States. Most of our directors and officers reside in Hong Kong and Singapore. As discussed below, we have been advised that, among other things, there are no treaties providing for the reciprocal recognition and enforcement of judgments of courts with the United States in the Cayman Islands, Singapore or Hong Kong. Additionally, effecting service of process and enforcing civil liabilities outside of the United States may also be subject to cost and time constraints. As a result, it may be difficult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been informed by Maples and Calder (Hong Kong) LLP, our counsel as to Cayman Islands law, that the courts of the Cayman Islands are unlikely to (i) recognize or enforce judgments of U.S. courts obtained against us or our directors or officers that are predicated upon the civil liability provisions of the federal securities laws of the United States or the securities laws of any state in the United States, and (ii) in original actions brought in the Cayman Islands to impose liabilities against us or our directors or officers that are predicated upon the federal securities laws of the United States or the securities laws of any state in the United States so far as the liabilities imposed by those provisions are penal in nature.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also been advised by Maples and Calder (Hong Kong) LLP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and conclusive, (d) is not in respect of taxes, a fine or a penalty, (e) is not inconsistent with a Cayman Islands judgment in respect of the same matter, and (f)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has been advised by Baker McKenzie Wong &amp; Leow, our counsel as to Singapore law, and Baker McKenzie, our counsel as to Hong Kong law, that Singapore and Hong Kong do not have treaties providing for the reciprocal recognition and enforcement of judgments of courts with the United States. Further, it is unclear whether any extradition treaty now in effect between the United States and these jurisdictions would permit effective enforcement of criminal penalties of U.S. federal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in the applicable prospectus supplement, we currently intend to use the net proceeds from the sale of the securities offered by this prospectus for general corporate purposes, which may include, among other things, working capital, capital expenditures, business expansion, repayment or refinancing of existing indebtedness and other general corporate purposes. We may also use a portion of the net proceeds to acquire or invest in technologies, products, businesses or assets that complement our business, although we have no current commitments or agreements with respect to any such transactions as of the date of this prospectus.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amounts and timing of our actual use of the net proceeds will vary depending on numerous factors, including our ability to obtain additional financing, and the amount of cash generated by our operations. As a result, our management will have broad discretion to allocate the net proceeds we receive from any offering. The net proceeds may be invested temporarily until they are used for their stated purposes. Pending the application of the net proceeds, we may invest the proceeds in short-term, interest-bearing, investment-grade securities, certificates of deposit or direct or guaranteed obligations of the U.S. government, or hold the net proceeds as cash.</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elect at the time of an issuance of securities to make different or more specific use of proceeds other than as set forth herein, the change in use of proceeds will be described in the applicable prospectus supplement.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share capital and provisions of our memorandum and articles of association are summaries and are qualified by reference to our memorandum and articles of association, the form of which has been filed as an exhibit to the registration statement of which this prospectus forms a part. The description of our ordinary shares reflects the changes made to our memorandum and articles of association upon the completion of our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with limited liability incorporated in August 2023. Our affairs are governed by our memorandum and articles of association, as amended and restated from time to time, the Companies Act (As Revised) of the Cayman Islands, which we refer to as the Companies Act below, and the common law of the Cayman Islands.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May 31, 2026, we had 24,014,343 ordinary shares issued and outstanding, par value US$0.001 per share, comprised of 24,014,343 Class A ordinary shares, par value US$0.001 per share (excluding 1,909,667 Class A ordinary shares held by us through our ESOP platform reserved for future issuances upon the exercise or vesting of awards granted under our Share Incentive Plan and 3,490 Class A ordinary shares repurchased by us and held as treasury shares but not yet cancelled), and nil Class B ordinary shares issued and outstanding out of 3,125,000 Class B ordinary shares authorized, par value US$0.001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authorized share capital consists of Class A ordinary shares and Class B ordinary shares (with power for our directors to authorize the division of the shares into any number of classes and issue such shares with such rights, restrictions and privileges as they think fit). Holders of Class A ordinary shares and Class B ordinary shares have the same rights except for voting and conversion rights, as described below. As of the date of this prospectus, no Class B ordinary shares are issued and outstanding. The following description of our Class A ordinary shares is qualified in its entirety by reference to our amended and restated memorandum and articles of association.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our issued and outstanding Class A ordinary shares are fully paid and non-assessable. Our Class A ordinary shares are issued in registered form and are issued when registered in our register of members. Our Class A shareholders who are non-residents of the Cayman Islands may freely hold and vote their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holders of our Class A ordinary shares are entitled to such dividends as may be declared by our board of directors or declared by our shareholders by ordinary resolution (provided that no dividend may be declared by our shareholders which exceeds the amount recommended by our directors). Our amended and restated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Class A ordinary shares and Class B ordinary shares vote together as a single class on all matters submitted to a vote of our shareholders, except as may otherwise be required by law or provided for in our amended and restated memorandum and articles of association. In respect of matters requiring shareholders' vote, on a poll, each Class A ordinary share is entitled to one vote, and each Class B ordinary share is entitled to twenty votes. Voting at any meeting of shareholders is by show of hands unless a poll (before or on the declaration of the result of the show of hands) is demanded. A poll may be demanded by the chairperson of such meeting or any one shareholder present in person or by proxy.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the meeting, while a special resolution requires the affirmative vote of no less than two-thirds of the votes cast attaching to the outstanding ordinary shares at the meeting. A special resolution will be required for important matters such as a change of name or making changes to our amended and restated memorandum and articles of association. Our shareholders may, among other things, subdivide or consolidate their shares by ordinary resolution.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amended and restated memorandum and articles of association provide that we may (but shall not be obliged to) in each calendar year hold a general meeting as our annual general meeting and we shall specify the meeting as such in the notices calling it, and the annual general meeting shall be held at such time and place as may be determined by our directors.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the chairman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the issued and outstanding shares in our company entitled to vote and present at the general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Class A Ordinary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restrictions in our amended and restated memorandum and articles of association as set out below, any of our Class A shareholders may transfer all or any of his or her Class A ordinary shares by an instrument of transfer in the usual or common form or any other form approved by our board of directors. Notwithstanding the foregoing, Class A ordinary shares may also be transferred in accordance with the applicable rules and regulations of the Nasdaq Stock Market.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Class A ordinary share that is not fully paid up or on which we have a lien. Our board of directors may also decline to register any transfer of any Class A ordinary share unless (i) the instrument of transfer is lodged with us, accompanied by the certificate for the Class A ordinary shares to which it relates and such other evidence as our board of directors may reasonably require to show the right of the transferor to make the transfer; (ii) the instrument of transfer is in respect of only one class of shares; (iii) the instrument of transfer is properly stamped, if required; (iv) in the case of a transfer to joint holders, the number of joint holders to whom the Class A ordinary share is to be transferred does not exceed four; and (v) a fee of such maximum sum as the Nasdaq Stock Market may determine to be payable or such lesser sum as our directors may from time to time require is paid to us in respect thereof.</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 The registration of transfers may, on ten calendar days' notice being given by advertisement in such one or more newspapers, by electronic means or by any other means in accordance with the rules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share capital, such assets shall be distributed so that, as nearly as may be, the losses are borne by our shareholders in proportion to the par value of the shares held by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Shares and Forfeiture of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Class A shareholders for any amounts unpaid on their shares in a notice served to such shareholders at least fourteen calendar days prior to the specified time and place of payment. The shares that have been called upon and remain unpaid are subject to forfeiture.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and Repurchase of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of these shares, on such terms and in such manner as may be determined, before the issue of the shares, by our board of directors or by a special resolution of our shareholders. Our company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do not have preemptive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the rights attached to any class of shares, subject to any rights or restrictions for the time being attached to any class of shares, may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shall not, subject to any rights or restrictions for the time being attached to the shares of that class, be deemed to be materially adversely varied by the creation, allotment or issue of further shares ranking pari passu with or subsequent to such existing class of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our Class A ordinary shares will have no general right under Cayman Islands law to inspect or obtain copies of our list of shareholders or our corporate records (other than our memorandum and articles of association, our register of mortgages and charges, and any special resolutions passed by our shareholders). Under Cayman Islands law, the names of our current directors can be obtained from a search conducted at the Registrar of Companies in the Cayman Islands. However, we will provide our shareholders with annual audited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authorize our board of directors to issue additional ordinary shares from time to time as our board of directors shall determine, to the extent of available authorized but unissued shares. Our amended and restated memorandum and articles of association also authorize our board of directors to establish from time to time one or more series of preferred shares and to determine, with respect to any series of preferred shares, the terms and rights of that series.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Class B ordinary share has the same rights as a Class A ordinary share, except as described below with respect to voting and conversion. As of the date of this prospectus, no Class B ordinary shares are issued and outstanding.</w:t>
      </w:r>
    </w:p>
    <w:p>
      <w:pPr>
        <w:spacing w:after="0" w:line="160" w:lineRule="exact"/>
        <w:rPr>
          <w:sz w:val="20"/>
          <w:szCs w:val="20"/>
          <w:color w:val="auto"/>
        </w:rPr>
      </w:pPr>
    </w:p>
    <w:p>
      <w:pPr>
        <w:jc w:val="both"/>
        <w:ind w:left="980" w:hanging="324"/>
        <w:spacing w:after="0" w:line="26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On a poll, holders of Class B ordinary shares are entitled to twenty votes per share. Holders of Class A ordinary shares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B ordinary shares vote together as a single class on all matters submitted to a vote of our shareholders, except as may otherwise be required by law or provided for in our amended and restated memorandum and articles of association.</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Class B ordinary share is convertible into one Class A ordinary share at any time at the option of the holder thereof,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are not convertible into Class B ordinary shares under any circumstances. Upon any sale, transfer, assignment or disposition of any Class B ordinary share by a shareholder to any person who is not (i) an affiliate of such shareholder, (ii) our chief executive officer or the chairman of our board of directors or (iii) an affiliate of our chief executive officer or the chairman of our board of directors, or upon a change of control of the ultimate beneficial ownership of any Class B ordinary share to any person who is not an affiliate of such shareholder, our chief executive officer or the chairman of our board of directors, or an affiliate of our chief executive officer or the chairman of our board of directors, such Class B ordinary share shall be automatically and immediately converted into the same number of Class A ordinary share.</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Liquidation</w:t>
      </w:r>
      <w:r>
        <w:rPr>
          <w:rFonts w:ascii="Times New Roman" w:cs="Times New Roman" w:eastAsia="Times New Roman" w:hAnsi="Times New Roman"/>
          <w:sz w:val="18"/>
          <w:szCs w:val="18"/>
          <w:color w:val="auto"/>
        </w:rPr>
        <w:t>. Holders of Class A ordinary shares and Class B ordinary shares are entitled to share equally and ratably on a per-share basis in any dividends or other distributions declared on our ordinary shares, and to share equally and ratably in our assets available for distribution to holders of our ordinary shares upon our liquidation, dissolution or winding up.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authorize our board of directors to issue, from time to time, preferred shares in one or more series. Subject to limitations prescribed by Cayman Islands law and our amended and restated memorandum and articles of association, our board of directors is authorized to fix for any series of preferred shares the number of shares of such series and the designation, relative powers, preferences and rights, and the qualifications, limitations or restrictions of such series, including, but not limited to:</w:t>
      </w:r>
    </w:p>
    <w:p>
      <w:pPr>
        <w:spacing w:after="0" w:line="180"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the ability to exercise the redemption or repurchase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 or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will be convertible into our ordinary shares or other securities of ours, including warrants, and, if applicable, the conversion period, the conversion price, or how it will be calculated, and under what circumstances it may be adjusted;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shares will be represented by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and Cayman Islands tax considerations applicable to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shares ranking senior to or on parity with the series of preferred shares as to dividend rights and rights upon liquidation, dissolution or winding up of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series of preferred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Court approval is not required for a merger or consolidation which is effected in compliance with these statutory procedures.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a scheme of arrangement between the company and its shareholders or its creditors, provided that the arrangement is approved by (a) 75% in value of the shareholders or class of shareholders, as the case may be, or (b) a majority in number representing 75% in value of the creditors (or class thereof) with whom the arrangement is to be made, that are, in each case, present and voting at a meeting convened for that purpose, and provided further that the arrangement is sanctioned by the Grand Court of the Cayman Islands.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that may facilitate the “squeeze out” of dissentient minority shareholders upon a tender offer. When a tender offer is made and accepted by holders of 90.0% in value of the shares for which the offer has been made, the offeror may, within a two-month period after the approval by the said holders, require the holders of the remaining shares to transfer such shares to the offeror on the terms of the offer. If an arrangement and reconstruction by way of scheme of arrangement is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 (a) the company acts or proposes to act illegally or ultra vires (and is therefore incapable of ratification by the shareholders); (b) the act complained of, although not ultra vires, could only be effected duly if authorized by more than a simple majority vote that has not been obtained; and (c) those who control the company are perpetrating a “fraud on the minority.”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officers and directors against all actions, proceedings, costs, charges, expenses, losses, damages or liabilities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This standard of conduct is generally the same as permitted under the Delaware General Corporation Law for a Delaware corporation. In addition, we have entered into indemnification agreements with our directors and executive officers that provide such persons with additional indemnification beyond that provided in our amended and restated memorandum and articles of association.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The duty of loyalty requires that a director acts in a manner he reasonably believes to be in the best interests of the corporation. He must not use his corporate position for personal gain or advantage.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that it complies with the notice provisions in the governing documents. 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allow any one or more of our shareholders holding shares which carry in aggregate not less than one-third of the total number of votes attaching to all of the issued and outstanding shares to requisition an extraordinary general meeting of our shareholders, in which case our board is obliged to convene an extraordinary general meeting and to put the resolutions so requisitioned to a vote at such meeting. As a Cayman Islands exempted company, we are not obliged by law to call shareholders’ annual general meetings.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There are no prohibitions in relation to cumulative voting under the laws of the Cayman Islands but our amended and restated memorandum and articles of association do not provide for cumulative voting. As a result, our shareholders are not afforded any less protections or rights on this issue than shareholders of a Delaware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amended and restated memorandum and articles of association, directors may be removed with or without cause, by an ordinary resolution of our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our amended and restated memorandum and articles of association, if our share capital is divided into more than one class of shares, the rights attached to any such class may only be materially adversely varied with the consent in writing of the holders of two-thirds of the issued shares of that class or with the sanction of a special resolution passed at a separate meeting of the holders of the shares of that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Under the Companies Act and our amended and restated memorandum and articles of association, our memorandum and articles of association may only be amended by a special resolution of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provisions of our amended and restated memorandum and articles of association may discourage, delay or prevent a change of control of our company or management that shareholders may consider favorable, including provisions that (i) authorize our board of directors to issue preferred shares in one or more series and to designate the price, rights, preferences, privileges and restrictions of such preferred shares without any further vote or action by our shareholders, and (ii) limit the ability of shareholders to requisition and convene general meetings of shareholders. 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Cayman Islands law to inspect or obtain copies of our list of shareholders or our corporate records (other than our memorandum and articles of association, our register of mortgages and charges, and any special resolutions passed by our shareholders). Under Cayman Islands law, the names of our current directors can be obtained from a search conducted at the Registrar of Companies in the Cayman Islands. However, we will provide our shareholders with annual audited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Continental Stock Transfer &amp; Trust.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ordinary shares are listed on the Nasdaq Global Market under the symbol “ANTA.”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our debt securities.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debt securities will be issued under an indenture to be entered into between us and a trustee identified in the applicable prospectus supplement, the form of which is filed as an exhibit to the registration statement of which this prospectus forms a part. The indenture will be subject to and governed by the Trust Indenture Act of 1939, as amended. We have summarized select portions of the indenture below. The summary is not complete and is qualified in its entirety by reference to the indenture. References to articles and sections in such summary refer to articles and sections in the indenture. For your convenience, we have also included references in parentheses to certain sections of the indenture. Whenever we refer in this prospectus or in any prospectus supplement to particular articles or sections or defined terms of the indenture, those articles, sections or defined terms are incorporated by reference herein and therein, respectively. The indenture is filed as an exhibit to the registration statement of which this prospectus forms a 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which we may issue. We may issue debt securities up to an aggregate principal amount as we may authorize from time to time which will be described in the applicable prospectus supplement. The applicable prospectus supplement will set forth, to the extent required, the following terms of the debt securities in respect of which this prospectus is delivered:</w:t>
      </w:r>
    </w:p>
    <w:p>
      <w:pPr>
        <w:spacing w:after="0" w:line="176"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series,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senior subordinated or subordinated;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any limit on such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premium, if any, on, the debt securities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of determining such rate or rates, at which the debt securities will bear interest, if any, and the date or dates from which such interest, if any, will accrue;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such interest, if any, will be payable and the record dates for such payment 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depositary, any registrar, paying agent and transfer agent;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terms or prepayment, conversion, sinking fund or exchangeability or convertibility provisions;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debt securities will be denominated and in which principal, premium, if any, and interest, if any, will or may be payable;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left="98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any premium or interest on the debt securities will be made in one or more currencies or currency units other than that or those in which the debt securities are denominated, the manner in which the exchange rate with respect to such payments will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debt securities, if other than $1,000 and integral multiples thereof;</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on the debt securities held by a person who is not a U.S. person for tax purposes and whether we can redeem the debt securities if we have to pay such additional amounts;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and any events of default applicable to the debt securities, which may be in addition to or in place of those described herein;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including whether the debt securities are to be issuable in permanent or temporary global form, as registered securities, bearer securities or both;</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discharge of our obligations relating to the debt securities by deposit of funds or U.S. government obligations;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the debt securities will be guaranteed and the terms of any such guarantee;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on what terms the debt securities are convertible into or exchangeable for any other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indenture.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issue debt securities at a discount below their stated principal amount, bearing no interest or interest at a rate that at the time of issuance is below market rates. We will describe the U.S. federal income tax consequences and other relevant considerations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Payment of the principal of, premium, if any, and interest on senior debt securities will rank on a parity with all of our other senior and unsubordinated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 of the principal of, premium, if any, and interest on subordinated debt securities will be subordinated and junior in right of payment to the prior payment in full of all of our senior debt as described in the applicable prospectus supplement and the indenture under which any such subordinated debt securities are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our other securities or the securities of other entities. The terms and conditions of such conversion or exchange will be set forth in the applicable prospectus supplement. Such terms will include, among others, the following: the conversion or exchange price; the conversion or exchange period; provisions regarding the ability of us or the holder to convert or exchange the debt securities; events requiring adjustment to the conversion or exchange price; and provisions affecting conversion or exchange in the event of our redemption of the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or acquirer of such assets must assume all of our obligations under the indenture and the debt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form of indenture provides that the following are events of default with respect to any series of debt securities issued thereunder, except to the extent otherwise provided by the supplemental indenture or board resolution authorizing such series of debt securities:</w:t>
      </w:r>
    </w:p>
    <w:p>
      <w:pPr>
        <w:spacing w:after="0" w:line="16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debt security of such series when due and payable and the default continues for a period of 30 days;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debt security of such series when due, including, but not limited to, payment at its stated maturity, upon declaration of acceleration, upon required repurchase, upon redemption or otherwise;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of our other agreements contained in such debt securities or the indenture upon receipt by us of notice of such default by the trustee or by holders of not less than 25% in aggregate principal amount of the then outstanding debt securities of such series and our failure to cure (or obtain a waiver of) such default within 60 days after we receive such notice;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our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Modifications and amendments of the indenture may be made by us and the trustee with the consent of the holders of a majority in aggregate principal amount of the outstanding debt securities of each series affected by such modification or amendment. However, no such modification or amendment may, without the consent of the holders of each outstanding debt security affected thereby, among other things: (a) change the maturity of the principal of, or any installment of principal of or interest on, any debt security; (b) reduce the principal amount of, or any premium or interest rate on, any debt security; or (c) reduce the amount of principal of an original issue discount security or any other debt security payable upon acceleration of the maturity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indenture will provide that, unless otherwise provided by the terms of the applicable series of debt securities, we may be discharged from any and all obligations in respect of the debt securities of any series (subject to certain exceptions, including our continuing obligation to register the transfer or exchange of the debt securities of such series, to replace mutilated, destroyed, lost or stolen debt securities of such series, to maintain paying agencies and to hold monies for payment in trust) on the 91st day after the applicable conditions described below have been satisfied. The conditions include, among others, our irrevocable deposit with the trustee or other paying agent of money or U.S. government obligations sufficient to pay all sums due for the principal of, and premium, if any, and interest on, the debt securities being defeased.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debt securities of each series will be issuable only in fully registered form, without coupons, and, unless otherwise specified in the applicable prospectus supplement, only in denominations of $1,000 and integral multiples thereof. The debt securities may be issued either as book-entry securities or as certificated securities. Book-entry securities of the same series will be issuable only in the form of one or more global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such indenture, undertakes to perform only such duties as are specifically set forth in the applicable indenture. Upon an event of default under an indenture, the trustee must use the same degree of care as a prudent person would exercise or use in the conduct of his or her own affairs. Subject to such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ordinary shares or debt securities. Warrants may be issued independently or together with our ordinary shares or debt securities, and may be attached to or separate from such securities. Each series of warrants will be issued under a separate warrant agreement to be entered into between us and a warrant agent specified therein. The warrant agent will act solely as our agent in connection with the warrants and will not assume any obligation or relationship of agency or trust for or with any holders or beneficial owners of warrants. The following sets forth certain general terms and provisions of the warrants that may be offered under this registration statement. Further terms of the warrants and the applicable warrant agreement will be set forth in the applicable prospectus supplement.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 particular issue of warrants will describe the terms of those warrants, including, where applicable, the following:</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warrants are being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ordinary shares or debt securities purchasable upon exercise of the warrants and procedures by which those numbers may be adjusted;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are exercisable;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 and the number of warrants issued with each such security;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on and after which the warrants and the other security will be separately transferable;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minimum or maximum amount of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and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Prospective purchasers of warrants should be aware that material U.S. federal income tax, accounting and other considerations may be applicable to instruments such as warrants. The applicable prospectus supplement will describe such considerations, to the extent they are material, as they apply generally to purchasers of such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number of ordinary shares or principal amount of debt securities at the exercise price set forth in, or determinable as set forth in, the applicable prospectus supplement. Unless otherwise specified in the applicable prospectus supplement, holders of warrants may exercise warrants at any time up to the close of business on the expiration date set forth in the applicable prospectus supplement. After the close of business on the expiration date, unexercised warrants will become void.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as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warrants will not be entitled, by virtue of being such holders, to vote, consent or receive notice as a shareholder of our company with respect to any meeting of shareholders for the election of our directors or any other matter, or to exercise any other rights whatsoever as shareholders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900" w:right="339" w:bottom="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the securities offered by this prospectus from time to time in one or more transactions, including, without limitation:</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one or more underwriters or dealers, including in connection with a firm commitment offering or a best efforts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including through a specific bidding or auction process or otherwise;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including in connection with an “at the market” offering as defined in Rule 415 of the Securities Act, that may be conducted with or without a sales agent, dealer or underwriter;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 Nasdaq Global Market or in transactions on the Nasdaq Global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 fixed prices, at prevailing market prices at the time of sale, at varying prices determined at the time of sale or at negotiated prices. We may sell the securities through a rights offering, forward contracts or similar arrangements.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Class A ordinary shares are listed on the Nasdaq Global Market. Unless the applicable prospectus supplement provides otherwise, securities other than our ordinary shares will not be listed on a national securities exchange. We can give no assurance as to the development of liquidity or any trading market for any of the securities. Each prospectus supplement to which this prospectus relates will, where applicable: identify any such underwriter, dealer or agent; describe any compensation in the form of discounts, concessions, commissions or otherwise received from us by each such underwriter or agent and in the aggregate to all underwriters and agents; identify the amounts underwritten; and identify the nature of the underwriter’s or underwriters’ obligation to take the securities.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Inc., or FINRA, the aggregate maximum discount, commission or agency fees or other items constituting underwriting compensation to be received by any FINRA member or independent broker-dealer will not exceed 8% of any offering pursuant to this prospectus and any applicable prospectus supplement; however, it is anticipated that the maximum commission or discount to be received in any particular offering of securities will be significantly less than this amount.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indemnify the underwriters, dealers or agents that participate in the distribution of securities against certain liabilities, including liabilities under the Securities Act, and the underwriters, dealers or agents may be entitled to contribution from us with respect to those liabilities. Underwriters, dealers and agents may engage in transactions with, or perform services for, us or our subsidiaries in the ordinary course of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an “at the market” offering as defined in Rule 415(a)(4) under the Securities Act, we will do so pursuant to the terms of a distribution agreement between us and the underwriters or agents. If we engage in “at the market” offerings, we will issue and sell our securities to or through one or more underwriters or agents acting as our sales agent. During the term of any such agreement, we may sell securities on a daily basis in exchange transactions or otherwise as we agree with the underwriters or agents. The distribution agreement will provide that any securities sold will be sold at prices related to the then-prevailing market prices for our securities. Therefore, exact figures regarding proceeds that will be raised or commissions to be paid cannot be determined at this time and will be described in a prospectus supplement. Pursuant to the terms of the distribution agreement, we also may agree to sell, and the relevant underwriters or agents may agree to solicit offers to purchase, blocks of our ordinary shares or other securities. The terms of each such distribution agreement will be described in a prospectus supplement.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the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party in such sale transactions will be an underwriter and, if not identified in this prospectus, will be identified in the applicable prospectus supplement (or a post-effective amendment).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Underwriters or agents may purchase and sell the securities in the open market. These transactions may include short sales, stabilizing transactions and purchases to cover positions created by short sales. Short sales involve the sale by underwriters or agents of a greater number of securities than they are required to purchase in the offering. Stabilizing transactions consist of certain bids or purchases made for the purpose of preventing or retarding a decline in the market price of the securities while the offering is in progress. These activities may stabilize, maintain or otherwise affect the market price of the securities. As a result, the price of the securities may be higher than the price that otherwise might exist in the open market. If these activities are commenced, they may be discontinued at any time. These transactions may be effected on the Nasdaq Global Market, in the over-the-counter market or otherwise.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underwriters, dealers or agents to or through whom we sell securities pursuant to this prospectus that are required to be members of the Financial Industry Regulatory Authority, Inc. (“FINRA”) will be members in good standing of FINRA at the time of any sale. In connection with any “at the market” offering or other offering of our securities, persons participating in such an offering may engage in transactions that stabilize, maintain or otherwise affect the price of our securities. Any such activities may be commenced and discontinued at any time and will be subject to Regulation M under the Exchange Act, including, where applicable, the restricted period restrictions and any prohibition on passive market making in our ordinary shares. To the extent that any such “at the market” offering is conducted as a “passive market making” transaction within the meaning of Rule 103 of Regulation M, the sales agent or underwriter will conduct any such passive market making activities in accordance with Rule 103.</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maximum number of Class A ordinary shares or other securities that may be sold in any single “at the market” offering under a prospectus supplement filed in connection with this prospectus will be specified in such prospectus supplement. Any sales agent or underwriter’s commissions and discounts payable in cash, securities or any combination thereof will also be described in the applicable prospectus supplement. Underwriters, dealers and agents involved in any offering may be entitled to indemnification and contribution from us with respect to certain liabilities, including liabilities under the Securities Act, and any underwriters, dealers and agents may be customers of, engage in transactions with, or perform services for, us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Class A ordinary shares offered by this prospectus and certain other matters of Cayman Islands law will be passed upon for us by Maples and Calder (Hong Kong) LLP. Unless otherwise indicated in the applicable prospectus supplement, certain other matters in connection with this offering, including the validity of any debt securities and warrants, will be passed upon for us by Ekberg, Fagre &amp; Seem LLP. Additional legal matters may be passed upon for us, or any underwriters, dealers or agents, by counsel that we will name in the applicable prospectus supplement.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expert or counsel named in this prospectus as having prepared or certified any part of this prospectus or as having given an opinion upon the validity of the securities being offered hereby or upon other legal matters in connection with the registration or offering of such securities was employed for such purpose on a contingent basis, or, at the time of such preparation, certification or opinion or at any time thereafter through the date of effectiveness of the registration statement or that part of the registration statement to which such preparation, certification or opinion relates, had a substantial interest in us or any of our subsidiaries, nor was any such person connected with us or any of our subsidiaries as a promoter, managing or principal underwriter, voting trustee, director, officer or employee.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Antalpha Platform Holding Company incorporated in this prospectus by reference from our Annual Report on Form 20-F have been audited by WWC, P.C.,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office of WWC, P.C. is located at 2010 Pioneer Court, San Mateo, CA 94403, U.S.A.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applicable to a foreign private issuer. Under the Exchange Act, we file annual reports on Form 20-F, which include audited financial statements, and furnish current reports on Form 6-K and other information with and to the SEC. The SEC maintains a website at www.sec.gov that contains reports, proxy and information statements, and other information regarding registrants like us that file electronically with the SEC.</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The registration statement, including the attached exhibits, contains additional relevant information about us and our securities. The rules and regulations of the SEC allow us to omit some information included in the registration statement from this prospectus. Our SEC filings and the registration statement and the exhibits filed with the registration statement may be accessed through the SEC’s website at www.sec.gov.</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maintain a website at https://www.antalpha.com, through which our SEC filings can be accessed free of charge as soon as reasonably practicable after they are filed with the SEC. The information contained on, or that can be accessed through, our website is not a part of, and is not incorporated into, this prospectus, and you should not consider information on our website as part of this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contained in the documents that we file with it, which means that we can disclose important information to you by referring you to those documents instead of having to repeat the information in this prospectus. The information incorporated by reference is considered to be part of this prospectus. We incorporate by reference into this prospectus the documents listed below:</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3">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April 14, 2026 (File No. 001-42637);</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furnished to the SEC on </w:t>
      </w:r>
      <w:hyperlink r:id="rId54">
        <w:r>
          <w:rPr>
            <w:rFonts w:ascii="Times New Roman" w:cs="Times New Roman" w:eastAsia="Times New Roman" w:hAnsi="Times New Roman"/>
            <w:sz w:val="18"/>
            <w:szCs w:val="18"/>
            <w:u w:val="single" w:color="auto"/>
            <w:color w:val="0000EE"/>
          </w:rPr>
          <w:t>April 15</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April 27</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April 30</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May 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8">
        <w:r>
          <w:rPr>
            <w:rFonts w:ascii="Times New Roman" w:cs="Times New Roman" w:eastAsia="Times New Roman" w:hAnsi="Times New Roman"/>
            <w:sz w:val="18"/>
            <w:szCs w:val="18"/>
            <w:u w:val="single" w:color="auto"/>
            <w:color w:val="0000EE"/>
          </w:rPr>
          <w:t>May 19, 2026</w:t>
        </w:r>
      </w:hyperlink>
      <w:r>
        <w:rPr>
          <w:rFonts w:ascii="Times New Roman" w:cs="Times New Roman" w:eastAsia="Times New Roman" w:hAnsi="Times New Roman"/>
          <w:sz w:val="18"/>
          <w:szCs w:val="18"/>
          <w:color w:val="auto"/>
        </w:rPr>
        <w:t>, in each case, only to the extent expressly stated therein that such report or portion thereof is incorporated by reference into this prospectus or our registration statement on Form F-3, and excluding any information that is “furnished” and not “filed” with the SEC;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5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May 8, 2025 under Section 12(b) of the Exchange Act, including any amendment or report filed for the purpose of updating that description.</w:t>
      </w:r>
    </w:p>
    <w:p>
      <w:pPr>
        <w:spacing w:after="0" w:line="162"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incorporating by reference into this prospectus all subsequent annual reports on Form 20-F that we file with the SEC and certain reports on Form 6-K that we furnish to the SEC after the date of this prospectus (if they state that they are incorporated by reference into this prospectus) prior to the termination of this offering. In all cases, you should rely on the later information over different information included in this prospectus or any prospectus supplement.</w:t>
      </w:r>
    </w:p>
    <w:p>
      <w:pPr>
        <w:spacing w:after="0" w:line="180"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any document incorporated or deemed to be incorporated by reference herein shall be deemed to be modified or superseded for purposes of this prospectus to the extent that a statement contained herein or in any other subsequently filed document which also is incorporated by reference herein modifies or supersedes such statement. Any statement so modified or superseded shall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and telephone number:</w:t>
      </w:r>
    </w:p>
    <w:p>
      <w:pPr>
        <w:spacing w:after="0" w:line="22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3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 Temasek Boulevard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Suntec Tower 1, #31-02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038987</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 6513 8815</w:t>
      </w:r>
    </w:p>
    <w:p>
      <w:pPr>
        <w:spacing w:after="0" w:line="207"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we shall indemnify our officers and directors against all actions, proceedings, costs, charges, expenses, losses, damages or liabilities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To be entitled to indemnification, these persons must have acted in good faith with a view to our best interests and, in the case of criminal proceedings, must have had no reasonable cause to believe their conduct was unlawful.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list of exhibits filed with this registration statement is set forth in the Exhibit Index immediately preceding the signature page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37"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left="328" w:right="20" w:hanging="4"/>
        <w:spacing w:after="0" w:line="282" w:lineRule="auto"/>
        <w:tabs>
          <w:tab w:leader="none" w:pos="6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0" w:lineRule="exact"/>
        <w:rPr>
          <w:sz w:val="20"/>
          <w:szCs w:val="20"/>
          <w:color w:val="auto"/>
        </w:rPr>
      </w:pPr>
    </w:p>
    <w:p>
      <w:pPr>
        <w:jc w:val="both"/>
        <w:ind w:left="8" w:hanging="8"/>
        <w:spacing w:after="0" w:line="266" w:lineRule="auto"/>
        <w:tabs>
          <w:tab w:leader="none" w:pos="2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8" w:hanging="8"/>
        <w:spacing w:after="0" w:line="282" w:lineRule="auto"/>
        <w:tabs>
          <w:tab w:leader="none" w:pos="2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 w:right="20" w:hanging="8"/>
        <w:spacing w:after="0" w:line="282"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161"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328" w:right="20" w:hanging="4"/>
        <w:spacing w:after="0" w:line="282" w:lineRule="auto"/>
        <w:tabs>
          <w:tab w:leader="none" w:pos="54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328" w:hanging="4"/>
        <w:spacing w:after="0" w:line="261" w:lineRule="auto"/>
        <w:tabs>
          <w:tab w:leader="none" w:pos="6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w:t>
      </w:r>
    </w:p>
    <w:p>
      <w:pPr>
        <w:spacing w:after="0" w:line="179"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2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548" w:hanging="224"/>
        <w:spacing w:after="0"/>
        <w:tabs>
          <w:tab w:leader="none" w:pos="5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1" w:name="page32"/>
    <w:bookmarkEnd w:id="31"/>
    <w:p>
      <w:pPr>
        <w:ind w:left="660" w:hanging="4"/>
        <w:spacing w:after="0" w:line="282" w:lineRule="auto"/>
        <w:tabs>
          <w:tab w:leader="none" w:pos="952"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97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rFonts w:ascii="Times New Roman" w:cs="Times New Roman" w:eastAsia="Times New Roman" w:hAnsi="Times New Roman"/>
          <w:sz w:val="18"/>
          <w:szCs w:val="18"/>
          <w:color w:val="auto"/>
        </w:rPr>
      </w:pPr>
    </w:p>
    <w:p>
      <w:pPr>
        <w:jc w:val="both"/>
        <w:ind w:left="340" w:right="20" w:hanging="8"/>
        <w:spacing w:after="0" w:line="266" w:lineRule="auto"/>
        <w:tabs>
          <w:tab w:leader="none" w:pos="5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0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7"/>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7"/>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At-the-Market Sales Agreement.</w:t>
            </w: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Second Amended and Restated Memorandum and Articles of Association of Antalpha Platform Holding Company (incorporated by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reference to Exhibit 1.1 to the Registrant’s Annual Report on Form 20-F (File No. 001-42637), filed with the SEC on April 14, 2026).</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Specimen Certificate for Class A Ordinary Shares (incorporated by reference to Exhibit 4.1 to the Registrant’s Registration Statement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7"/>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Form F-1 (File No. 333-286629), filed with the SEC on April 18,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Indenture.</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 and Warrant Certificate.</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Opinion of Maples and Calder (Hong Kong) LLP regarding the validity of the Class A ordinary shares.</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Opinion of Ekberg, Fagre &amp; Seem LLP regarding the validity of the debt securities and warrants.</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Consent of WWC, P.C., independent registered public accounting firm.</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Maples and Calder (Hong Kong) LLP (included in Exhibit 5.1).</w:t>
            </w:r>
          </w:p>
        </w:tc>
      </w:tr>
      <w:tr>
        <w:trPr>
          <w:trHeight w:val="216"/>
        </w:trPr>
        <w:tc>
          <w:tcPr>
            <w:tcW w:w="1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top w:val="single" w:sz="8" w:color="CCEEFF"/>
            </w:tcBorders>
          </w:tcPr>
          <w:p>
            <w:pPr>
              <w:spacing w:after="0"/>
              <w:rPr>
                <w:sz w:val="18"/>
                <w:szCs w:val="18"/>
                <w:color w:val="auto"/>
              </w:rPr>
            </w:pPr>
          </w:p>
        </w:tc>
        <w:tc>
          <w:tcPr>
            <w:tcW w:w="54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Consent of Ekberg Fagre &amp; Seem LLP (included in Exhibit 5.2).</w:t>
            </w:r>
          </w:p>
        </w:tc>
        <w:tc>
          <w:tcPr>
            <w:tcW w:w="4680" w:type="dxa"/>
            <w:vAlign w:val="bottom"/>
            <w:tcBorders>
              <w:top w:val="single" w:sz="8" w:color="CCEEFF"/>
            </w:tcBorders>
            <w:gridSpan w:val="4"/>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25.1†</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Statement of Eligibility of Trustee on Form T-1 under the Trust Indenture Act of 1939 for the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5" w:lineRule="exact"/>
        <w:rPr>
          <w:sz w:val="20"/>
          <w:szCs w:val="20"/>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an amendment to this registration statement or as an exhibit to a Report of Foreign Private Issuer on Form 6-K and incorporated herein by reference, as applicable.</w:t>
      </w:r>
    </w:p>
    <w:p>
      <w:pPr>
        <w:spacing w:after="0" w:line="162"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separately under electronic Form 305B2, if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Singapore, on July 2,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Moore Xin Jin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Moore Xin Jin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Moore Xin Jin and Paul Guanning Liang as attorneys-in-fact with full power of substitution for him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the securities of the registrant described herein (the “Securities”), including, without limitation, the power and authority to sign the name of each of the undersigned in the capacities indicated below to the Registration Statement on Form F-3 (the “Registration Statement”) to be filed with the Securities and Exchange Commission with respect to such Securities,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on July 2,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20" w:type="dxa"/>
            <w:vAlign w:val="bottom"/>
          </w:tcPr>
          <w:p>
            <w:pPr>
              <w:spacing w:after="0"/>
              <w:rPr>
                <w:sz w:val="21"/>
                <w:szCs w:val="21"/>
                <w:color w:val="auto"/>
              </w:rPr>
            </w:pPr>
          </w:p>
        </w:tc>
        <w:tc>
          <w:tcPr>
            <w:tcW w:w="584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39"/>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Moore Xin Jin</w:t>
            </w:r>
          </w:p>
        </w:tc>
        <w:tc>
          <w:tcPr>
            <w:tcW w:w="2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34"/>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Moore Xin Jin</w:t>
            </w:r>
          </w:p>
        </w:tc>
        <w:tc>
          <w:tcPr>
            <w:tcW w:w="2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21"/>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Paul Guanning Liang</w:t>
            </w:r>
          </w:p>
        </w:tc>
        <w:tc>
          <w:tcPr>
            <w:tcW w:w="2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34"/>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Guanning Liang</w:t>
            </w:r>
          </w:p>
        </w:tc>
        <w:tc>
          <w:tcPr>
            <w:tcW w:w="2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r>
        <w:trPr>
          <w:trHeight w:val="421"/>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Sam Hanhui Sun</w:t>
            </w:r>
          </w:p>
        </w:tc>
        <w:tc>
          <w:tcPr>
            <w:tcW w:w="2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Sam Hanhui Sun</w:t>
            </w:r>
          </w:p>
        </w:tc>
        <w:tc>
          <w:tcPr>
            <w:tcW w:w="2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21"/>
        </w:trPr>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Yang Wang</w:t>
            </w:r>
          </w:p>
        </w:tc>
        <w:tc>
          <w:tcPr>
            <w:tcW w:w="22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Yang Wang</w:t>
            </w:r>
          </w:p>
        </w:tc>
        <w:tc>
          <w:tcPr>
            <w:tcW w:w="2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637"/>
        </w:trPr>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Antalpha Platform Holding Company has signed this registration statement or amendment thereto in New York, New York, on July 2, 2026.</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Our ref</w:t>
      </w:r>
      <w:r>
        <w:rPr>
          <w:sz w:val="20"/>
          <w:szCs w:val="20"/>
          <w:color w:val="auto"/>
        </w:rPr>
        <w:tab/>
      </w:r>
      <w:r>
        <w:rPr>
          <w:rFonts w:ascii="Times New Roman" w:cs="Times New Roman" w:eastAsia="Times New Roman" w:hAnsi="Times New Roman"/>
          <w:sz w:val="17"/>
          <w:szCs w:val="17"/>
          <w:color w:val="auto"/>
        </w:rPr>
        <w:t>VSL/823346-000001/86957332v3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Tamasek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Suntec Towe 1, #31-02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038987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July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Antalpha Platform Holding Company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acted as Cayman Islands legal advisers to Antalpha Platform Holding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registration statement on Form F-3, including all amendments or supplements thereto,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United States Securities Act of 1933, as amended (including its exhibits,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relating to securities to be issued and sold by the Company, on a delayed or continuous basis, from time to time in one or more offerings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up to US$100,000,000 of any combination, together or separately, of the following securities:</w:t>
      </w:r>
    </w:p>
    <w:p>
      <w:pPr>
        <w:spacing w:after="0" w:line="17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of the Company of par value of US$0.001 each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of the Company, which may include debt securities exchangeable for or convertible into Ordinary Shares (collectively the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each series of Debt Securities to be issued under indentures to be entered into by the Company and the trustee for such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(the “</w:t>
      </w:r>
      <w:r>
        <w:rPr>
          <w:rFonts w:ascii="Times New Roman" w:cs="Times New Roman" w:eastAsia="Times New Roman" w:hAnsi="Times New Roman"/>
          <w:sz w:val="18"/>
          <w:szCs w:val="18"/>
          <w:b w:val="1"/>
          <w:bCs w:val="1"/>
          <w:color w:val="auto"/>
        </w:rPr>
        <w:t>Indentures</w:t>
      </w:r>
      <w:r>
        <w:rPr>
          <w:rFonts w:ascii="Times New Roman" w:cs="Times New Roman" w:eastAsia="Times New Roman" w:hAnsi="Times New Roman"/>
          <w:sz w:val="18"/>
          <w:szCs w:val="18"/>
          <w:color w:val="auto"/>
        </w:rPr>
        <w:t>”); and</w:t>
      </w:r>
    </w:p>
    <w:p>
      <w:pPr>
        <w:spacing w:after="0" w:line="197"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the Class A Ordinary Shares, the Debt Securities, or any combination of these securities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be issued under warrant agreements to be entered into by the Company and warrant agents, if any, for such Warrants thereunder (the “</w:t>
      </w:r>
      <w:r>
        <w:rPr>
          <w:rFonts w:ascii="Times New Roman" w:cs="Times New Roman" w:eastAsia="Times New Roman" w:hAnsi="Times New Roman"/>
          <w:sz w:val="18"/>
          <w:szCs w:val="18"/>
          <w:b w:val="1"/>
          <w:bCs w:val="1"/>
          <w:color w:val="auto"/>
        </w:rPr>
        <w:t>Warrant Agreements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furnishing this opinion as Exhibits 5.1 and 23.2 to the Registration Statement.</w:t>
      </w:r>
    </w:p>
    <w:p>
      <w:pPr>
        <w:spacing w:after="0" w:line="221"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certificate of incorporation of the Company dated 28 August 2023 issued by the Registrar of Companies in the Cayman Islands.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second amended and restated memorandum and articles of association adopted pursuant to a special resolution passed on 21 July 2025 and effective on 21 July 2025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 certificate of good standing with respect to the Company issued by the Registrar of Companies dated 30 June 2026 (the “</w:t>
      </w:r>
      <w:r>
        <w:rPr>
          <w:rFonts w:ascii="Times New Roman" w:cs="Times New Roman" w:eastAsia="Times New Roman" w:hAnsi="Times New Roman"/>
          <w:sz w:val="18"/>
          <w:szCs w:val="18"/>
          <w:b w:val="1"/>
          <w:bCs w:val="1"/>
          <w:color w:val="auto"/>
        </w:rPr>
        <w:t>Certificate of 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to this opinion letter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Copies of documents, conformed copies or drafts of documents provided to us are true and complete copies of, or in the final forms of, the originals.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All signatures, initials and seals are genuine.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offering, selling or issuing the Securities, entering into and performing its obligations under the Registration Statement and duly authorised, executed and delivered Securities Documents (as defined below).</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Company will have sufficient Class A Ordinary Shares authorised for issue under the Memorandum and Articles at the time of issuance of the Securities.</w:t>
      </w:r>
    </w:p>
    <w:p>
      <w:pPr>
        <w:spacing w:after="0" w:line="158"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The Debt Securities and the Indentures and the Warrants and the Warrant Agreements (together, the “</w:t>
      </w:r>
      <w:r>
        <w:rPr>
          <w:rFonts w:ascii="Times New Roman" w:cs="Times New Roman" w:eastAsia="Times New Roman" w:hAnsi="Times New Roman"/>
          <w:sz w:val="18"/>
          <w:szCs w:val="18"/>
          <w:b w:val="1"/>
          <w:bCs w:val="1"/>
          <w:color w:val="auto"/>
        </w:rPr>
        <w:t>Securities Documents</w:t>
      </w:r>
      <w:r>
        <w:rPr>
          <w:rFonts w:ascii="Times New Roman" w:cs="Times New Roman" w:eastAsia="Times New Roman" w:hAnsi="Times New Roman"/>
          <w:sz w:val="18"/>
          <w:szCs w:val="18"/>
          <w:color w:val="auto"/>
        </w:rPr>
        <w:t>”) will be authorised and duly executed and unconditionally delivered by or on behalf of all relevant parties in accordance with all relevant laws.</w:t>
      </w:r>
    </w:p>
    <w:p>
      <w:pPr>
        <w:spacing w:after="0" w:line="15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Securities Documents are, or will be, legal, valid, binding and enforceable against all relevant parties in accordance with their terms under the laws of the State of New York and all other relevant laws (other than, with respect to the Company, the laws of the Cayman Islands).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The choice of the laws of the State of New York as the governing law of the Securities Documents, will be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Securities Documents.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The Debt Securities and the Warrants will respectively be issued and authenticated as required in accordance with the provisions of a duly authorised, executed and delivered Indenture or Warrant Agreement.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The Securities Documents will be, or have been, duly executed and delivered by an authorised person of the parties thereto.</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No monies paid to or for the account of any party under the Securities Documents or any property received or disposed of by any party to the Securities Documents in each case in connection with the Securities Documents or the consummation of the transactions contemplated thereby represent or will represent proceeds of criminal conduct or criminal property or terrorist property (as defined in the Proceeds of Crime Act (As Revised) and the Terrorism Act (As Revised), respectively).</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There is nothing contained in the minute book or corporate records of the Company (which, other than the records set out in paragraphs 1.1 to 1.4 of the opinion letter, we have not inspected) which would or might affect the opinions set out below.</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There is nothing under any law (other than the law of the Cayman Islands) which would or might affect the opinions set out below.</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The offer, sale, and issue of Securities under and pursuant to the Registration Statement will be of commercial benefit to the Company.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No invitation has been or will be made by or on behalf of the Company to the public in the Cayman Islands to subscribe for any of the Securities.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The Company will receive money or money’s worth in consideration for the issue of the Class A Ordinary Shares, and none of the Class A Ordinary Shares will be issued for less than their par value.</w:t>
      </w:r>
    </w:p>
    <w:p>
      <w:pPr>
        <w:spacing w:after="0" w:line="158"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set out below and having regard to such legal considerations as we deem relevant, we are of the opinion that: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authorised share capital of the Company is US$62,500 divided into 62,500,000 Ordinary Shares of a par value of US$0.001 each, comprising of (i) 59,375,000 Class A Ordinary Shares of a par value of US$0.001 each, and (ii) 3,125,000 Class B Ordinary Shares of a par value of US$0.001 each.</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With respect to the Class A Ordinary Shares, when (i) the Board has taken all necessary corporate action to approve the issue thereof, the terms of the offering thereof and related matters; (ii) the issue of such Class A Ordinary Shares has been recorded in the Company’s register of members (shareholders); and (iii) the subscription price of such Class A Ordinary Shares, (being not less than the par value of the Class A Ordinary Shares) has been fully paid in cash or other consideration approved by the Board, the Class A Ordinary Shares will be duly authorised, validly issued, fully paid and non-assessable.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With respect to each issue of the Debt Securities, when (i) the Board has taken all necessary corporate action to approve the creation and terms of the Debt Securities and to approve the issue thereof, the terms of the offering thereof and related matters; (ii) an Indenture relating to the Debt Securities and the Debt Securities shall have been authorised and duly executed and delivered by and on behalf of the Company and all the relevant parties thereunder in accordance with all relevant laws; and (iii) when such Debt Securities issued thereunder have been duly executed and delivered on behalf of the Company and authenticated in the manner set forth in the Indenture relating to such issue of Debt Securities and delivered against due payment therefor pursuant to, and in accordance with, the terms of the Registration Statement and any relevant prospectus supplement, such Debt Securities issued pursuant to the Indenture will have been duly executed, issued and delivered.</w:t>
      </w:r>
    </w:p>
    <w:p>
      <w:pPr>
        <w:spacing w:after="0" w:line="18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With respect to each issue of Warrants, when (i) the Board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warrant agent thereunder; and (iii) the certificates representing the Warrants have been duly executed, countersigned, registered and delivered in accordance with the Warrant Agreements relating to the Warrants and the applicable definitive purchase, underwriting or similar agreement approved by the Board upon payment of the consideration therefor provided therein, the Warrants will be duly authorised, executed, issued and delivered, and constitute legal and binding obligations of the Company.</w:t>
      </w:r>
    </w:p>
    <w:p>
      <w:pPr>
        <w:spacing w:after="0" w:line="18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The statements under the caption “Enforcement of Civil Liabilities” in the prospectus forming part of the Registration Statement are accurate in so far as such statements are summaries of or relate to Cayman Islands law, and such statements constitute our opinion.</w:t>
      </w:r>
    </w:p>
    <w:p>
      <w:pPr>
        <w:spacing w:after="0" w:line="158"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obligations assumed by the Company under the Indentures and the Warrant Agreements will not necessarily be enforceable in all circumstances in accordance with their terms. In particular:</w:t>
      </w:r>
    </w:p>
    <w:p>
      <w:pPr>
        <w:spacing w:after="0" w:line="162" w:lineRule="exact"/>
        <w:rPr>
          <w:sz w:val="20"/>
          <w:szCs w:val="20"/>
          <w:color w:val="auto"/>
        </w:rPr>
      </w:pPr>
    </w:p>
    <w:p>
      <w:pPr>
        <w:ind w:left="1300" w:right="2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bankruptcy, insolvency, liquidation, reorganisation, readjustment of debts or moratorium or other laws of general application relating to, protecting or affecting the rights of creditors and/or contributories;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where damages are considered to be an adequate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644" w:hanging="644"/>
        <w:spacing w:after="0" w:line="282"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Cayman Islands, they may not be enforceable in the Cayman Islands to the extent that performance would be illegal under the laws of that jurisdiction;</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that constitute penalties will not be enforceable;</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prevented by reason of fraud, coercion, duress, undue influence, misrepresentation, public policy or mistake or limited by the doctrine of frustration of contracts;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imposing confidentiality obligations may be overridden by compulsion of applicable law or the requirements of legal and/or regulatory process;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the Cayman Islands may decline to exercise jurisdiction in relation to substantive proceedings brought in matters where they determine that such proceedings may be tried in a more appropriate forum;</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our opinion as to the enforceability of the relevant provisions of the documents to the extent that they purport to grant exclusive jurisdiction as there may be circumstances in which the courts of the Cayman Islands would accept jurisdiction notwithstanding such provisions;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cannot, by agreement or in its articles of association, restrict the exercise of a statutory power and there is doubt as to the enforceability of any provision in the Indentures and the Warrant Agreements whereby the Company covenants to restrict the exercise of powers specifically given to it under the Companies Act (As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including, without limitation, the power to increase its authorised share capital, amend its memorandum and articles of association or present a petition to a Cayman Islands court for an order to wind up the Company; and</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or performance of any provision in the documents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(the “</w:t>
      </w:r>
      <w:r>
        <w:rPr>
          <w:rFonts w:ascii="Times New Roman" w:cs="Times New Roman" w:eastAsia="Times New Roman" w:hAnsi="Times New Roman"/>
          <w:sz w:val="18"/>
          <w:szCs w:val="18"/>
          <w:b w:val="1"/>
          <w:bCs w:val="1"/>
          <w:color w:val="auto"/>
        </w:rPr>
        <w:t>BOT Act</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40" w:name="page41"/>
    <w:bookmarkEnd w:id="40"/>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We express no opinion as to the meaning, validity or effect of any references to foreign (i.e. non-Cayman Islands) statutes, rules, regulations, codes, judicial authority or any other promulgations and any references to them in the Securities Documents.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We have not reviewed the final form of any of the Securities Documents, and our opinions are qualified accordingly.</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We reserve our opinion as to the extent to which the courts of the Cayman Islands would, in the event of any relevant illegality or invalidity, sever the relevant provisions of the Securities Documents and enforce the remainder or the transaction of which such provisions form a part, notwithstanding any express provisions in this regard.</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Under the Companies Act, the register of members of a Cayman Islands company is by statute regarded as prima facie evidence of any matters which the Companies Act directs or authorises to be inserted in it. A third party interest in the shares in question would not appear. An entry in the register of members may yield to a court order for rectification (for example, in the event of fraud or manifest error).</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express no view as to the commercial terms of the Securities Documents or whether such terms represent the intentions of the parties and make no comment with regard to warranties or representations that may be made by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opinions in this opinion letter are strictly limited to the matters contained in the opinions section above and do not extend to any other matters. We have not been asked to review and we therefore have not reviewed any of the ancillary documents relating to the Securities Documents and express no opinion or observation upon the terms of any such document.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name under the heading “Enforceability of Civil Liabilities”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168275</wp:posOffset>
            </wp:positionV>
            <wp:extent cx="5572125" cy="968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557212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Consent of Independent Registered Public Accounting Firm</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hereby consent to the incorporation by reference in this Registration Statement on Form F-3 of Antalpha Platform Holding Company (the “Company”) of our report dated April 14, 2026 relating to the audit of the combined and consolidated balance sheets of the Company as of December 31, 2025 and 2024, and the related combined and consolidated statements of comprehensive income, stockholders’ equity, and cash flows in each of the years for the three-year period ended December 31, 2025, and the related notes included herein.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also consent to the reference to our Firm under the heading “Experts” in such Registration Statement.</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2,2026</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WWC,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WWC,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Certified Public Accountants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1171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160020</wp:posOffset>
            </wp:positionV>
            <wp:extent cx="5143500"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5143500" cy="325755"/>
                    </a:xfrm>
                    <a:prstGeom prst="rect">
                      <a:avLst/>
                    </a:prstGeom>
                    <a:noFill/>
                  </pic:spPr>
                </pic:pic>
              </a:graphicData>
            </a:graphic>
          </wp:anchor>
        </w:drawing>
      </w:r>
    </w:p>
    <w:p>
      <w:pPr>
        <w:sectPr>
          <w:pgSz w:w="11900" w:h="16838" w:orient="portrait"/>
          <w:cols w:equalWidth="0" w:num="2">
            <w:col w:w="6040" w:space="720"/>
            <w:col w:w="4480"/>
          </w:cols>
          <w:pgMar w:left="320" w:top="108" w:right="339" w:bottom="1440" w:gutter="0" w:footer="0" w:header="0"/>
          <w:type w:val="continuous"/>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Antalpha Platform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vMerge w:val="restart"/>
          </w:tcPr>
          <w:p>
            <w:pPr>
              <w:spacing w:after="0"/>
              <w:rPr>
                <w:sz w:val="12"/>
                <w:szCs w:val="12"/>
                <w:color w:val="auto"/>
              </w:rPr>
            </w:pP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vMerge w:val="restart"/>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77"/>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100,000,000.00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0.0001381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13,810.00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par value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$0.001 per share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or</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0.0001381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940" w:type="dxa"/>
            <w:vAlign w:val="bottom"/>
            <w:gridSpan w:val="6"/>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40" w:type="dxa"/>
            <w:vAlign w:val="bottom"/>
            <w:gridSpan w:val="6"/>
            <w:vMerge w:val="continue"/>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100,000,000.00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13,810.00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13,810.00</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457(o) under the Securities Act of 1933, as amended (the "Securities Act"), the Registrant is registering hereunder an indeterminate number of Class A ordinary shares, principal amount of Debt Securities and number of Warrants, as may from time to time be issued at indeterminate prices, with an aggregate initial offering price not to exceed $100,000,000. The registration fee has been calculated on the basis of the maximum aggregate offering price of all securities listed, and the entire registration fee is reflected on the Class A Ordinary Shares line above.</w:t>
      </w:r>
    </w:p>
    <w:p>
      <w:pPr>
        <w:spacing w:after="0" w:line="71"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$100,000,000 aggregate offering price registered pursuant to Rule 457(o), as described in Note (1). No separate registration fee is required with respect to this line.</w:t>
      </w:r>
    </w:p>
    <w:p>
      <w:pPr>
        <w:spacing w:after="0" w:line="53" w:lineRule="exact"/>
        <w:rPr>
          <w:rFonts w:ascii="Times New Roman" w:cs="Times New Roman" w:eastAsia="Times New Roman" w:hAnsi="Times New Roman"/>
          <w:sz w:val="18"/>
          <w:szCs w:val="18"/>
          <w:color w:val="auto"/>
        </w:rPr>
      </w:pPr>
    </w:p>
    <w:p>
      <w:pPr>
        <w:jc w:val="both"/>
        <w:ind w:left="360" w:hanging="292"/>
        <w:spacing w:after="0" w:line="266" w:lineRule="auto"/>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$100,000,000 aggregate offering price registered pursuant to Rule 457(o), as described in Note (1). No separate registration fee is required with respect to this line. Pursuant to Rule 457(g) under the Securities Act, no separate registration fee is required with respect to Class A ordinary shares or Debt Securities issuable upon exercise of Warrants also registered hereunder.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
    <w:nsid w:val="721DA317"/>
    <w:multiLevelType w:val="hybridMultilevel"/>
    <w:lvl w:ilvl="0">
      <w:lvlJc w:val="left"/>
      <w:lvlText w:val="(%1)"/>
      <w:numFmt w:val="lowerRoman"/>
      <w:start w:val="3"/>
    </w:lvl>
  </w:abstractNum>
  <w:abstractNum w:abstractNumId="15">
    <w:nsid w:val="2443A858"/>
    <w:multiLevelType w:val="hybridMultilevel"/>
    <w:lvl w:ilvl="0">
      <w:lvlJc w:val="left"/>
      <w:lvlText w:val="(%1)"/>
      <w:numFmt w:val="decimal"/>
      <w:start w:val="2"/>
    </w:lvl>
    <w:lvl w:ilvl="1">
      <w:lvlJc w:val="left"/>
      <w:lvlText w:val="(%2)"/>
      <w:numFmt w:val="lowerRoman"/>
      <w:start w:val="1"/>
    </w:lvl>
  </w:abstractNum>
  <w:abstractNum w:abstractNumId="16">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7">
    <w:nsid w:val="6763845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8">
    <w:nsid w:val="75A2A8D4"/>
    <w:multiLevelType w:val="hybridMultilevel"/>
    <w:lvl w:ilvl="0">
      <w:lvlJc w:val="left"/>
      <w:lvlText w:val="%1"/>
      <w:numFmt w:val="decimal"/>
      <w:start w:val="107"/>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bullet"/>
      <w:start w:val="1"/>
    </w:lvl>
  </w:abstractNum>
  <w:abstractNum w:abstractNumId="23">
    <w:nsid w:val="189A769B"/>
    <w:multiLevelType w:val="hybridMultilevel"/>
    <w:lvl w:ilvl="0">
      <w:lvlJc w:val="left"/>
      <w:lvlText w:val="2"/>
      <w:numFmt w:val="bullet"/>
      <w:start w:val="1"/>
    </w:lvl>
  </w:abstractNum>
  <w:abstractNum w:abstractNumId="24">
    <w:nsid w:val="54E49EB4"/>
    <w:multiLevelType w:val="hybridMultilevel"/>
    <w:lvl w:ilvl="0">
      <w:lvlJc w:val="left"/>
      <w:lvlText w:val="3"/>
      <w:numFmt w:val="bullet"/>
      <w:start w:val="1"/>
    </w:lvl>
  </w:abstractNum>
  <w:abstractNum w:abstractNumId="25">
    <w:nsid w:val="71F32454"/>
    <w:multiLevelType w:val="hybridMultilevel"/>
    <w:lvl w:ilvl="0">
      <w:lvlJc w:val="left"/>
      <w:lvlText w:val="4"/>
      <w:numFmt w:val="bullet"/>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4"/>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jpeg"/><Relationship Id="rId77" Type="http://schemas.openxmlformats.org/officeDocument/2006/relationships/image" Target="media/image61.jpeg"/><Relationship Id="rId78" Type="http://schemas.openxmlformats.org/officeDocument/2006/relationships/image" Target="media/image62.png"/><Relationship Id="rId79" Type="http://schemas.openxmlformats.org/officeDocument/2006/relationships/image" Target="media/image63.png"/><Relationship Id="rId53" Type="http://schemas.openxmlformats.org/officeDocument/2006/relationships/hyperlink" Target="http://www.sec.gov/ix?doc=/Archives/edgar/data/2044255/000121390026043573/ea0285064-20f_antalpha.htm" TargetMode="External"/><Relationship Id="rId54" Type="http://schemas.openxmlformats.org/officeDocument/2006/relationships/hyperlink" Target="http://www.sec.gov/Archives/edgar/data/2044255/000117184326002452/f6k_041526.htm" TargetMode="External"/><Relationship Id="rId55" Type="http://schemas.openxmlformats.org/officeDocument/2006/relationships/hyperlink" Target="http://www.sec.gov/Archives/edgar/data/2044255/000117184326002735/f6k_042726.htm" TargetMode="External"/><Relationship Id="rId56" Type="http://schemas.openxmlformats.org/officeDocument/2006/relationships/hyperlink" Target="http://www.sec.gov/Archives/edgar/data/2044255/000117184326002879/f6k_043026.htm" TargetMode="External"/><Relationship Id="rId57" Type="http://schemas.openxmlformats.org/officeDocument/2006/relationships/hyperlink" Target="http://www.sec.gov/Archives/edgar/data/2044255/000117184326003513/f6k_051826.htm" TargetMode="External"/><Relationship Id="rId58" Type="http://schemas.openxmlformats.org/officeDocument/2006/relationships/hyperlink" Target="http://www.sec.gov/Archives/edgar/data/2044255/000117184326003540/f6k_051926.htm" TargetMode="External"/><Relationship Id="rId59" Type="http://schemas.openxmlformats.org/officeDocument/2006/relationships/hyperlink" Target="http://www.sec.gov/Archives/edgar/data/2044255/000119312525115796/d898426d8a12b.htm" TargetMode="External"/><Relationship Id="rId64" Type="http://schemas.openxmlformats.org/officeDocument/2006/relationships/hyperlink" Target="https://www.sec.gov/Archives/edgar/data/2044255/000121390026043573/ea028506401ex1-1.htm" TargetMode="External"/><Relationship Id="rId65" Type="http://schemas.openxmlformats.org/officeDocument/2006/relationships/hyperlink" Target="https://www.sec.gov/Archives/edgar/data/2044255/000119312525085747/d84916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2026-07-02T05:39:21Z</dcterms:created>
  <dcterms:modified xsi:type="dcterms:W3CDTF">2026-07-02T05:39:21Z</dcterms:modified>
</cp:coreProperties>
</file>