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001-42637</w:t>
      </w:r>
    </w:p>
    <w:p>
      <w:pPr>
        <w:spacing w:after="0" w:line="20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7 TEMASEK BOULEVARD, #31-02 SUNTEC TOWER 1,</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SINGAPORE</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038987</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19,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93" w:lineRule="exact"/>
        <w:rPr>
          <w:sz w:val="20"/>
          <w:szCs w:val="20"/>
          <w:color w:val="auto"/>
        </w:rPr>
      </w:pPr>
    </w:p>
    <w:tbl>
      <w:tblPr>
        <w:tblLayout w:type="fixed"/>
        <w:tblInd w:w="598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Liang</w:t>
            </w:r>
          </w:p>
        </w:tc>
        <w:tc>
          <w:tcPr>
            <w:tcW w:w="480" w:type="dxa"/>
            <w:vAlign w:val="bottom"/>
          </w:tcPr>
          <w:p>
            <w:pPr>
              <w:spacing w:after="0"/>
              <w:rPr>
                <w:sz w:val="17"/>
                <w:szCs w:val="17"/>
                <w:color w:val="auto"/>
              </w:rPr>
            </w:pPr>
          </w:p>
        </w:tc>
      </w:tr>
      <w:tr>
        <w:trPr>
          <w:trHeight w:val="2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Liang</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pacing w:after="0" w:line="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 May 19, 2026</w:t>
      </w:r>
    </w:p>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Antalpha Reports First Quarter 2026 Results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SINGAPORE, May 19, 2026 (GLOBE NEWSWIRE) -- Antalpha Platform Holding Company (NASDAQ: ANTA) ("Antalpha" or the "Company") today announced its unaudited financial results for the first quarter ended March 31, 2026.</w:t>
      </w:r>
    </w:p>
    <w:p>
      <w:pPr>
        <w:spacing w:after="0" w:line="15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1"/>
          <w:szCs w:val="21"/>
          <w:color w:val="auto"/>
        </w:rPr>
        <w:t>“Antalpha continued to demonstrate the resilience and scalability of its platform in the first quarter, with sustained revenue growth and profitability through a more challenging market environment,” said Paul Liang, Chief Financial Officer of Antalpha. “What stood out in the first quarter of 2026 was how the two distinct sides of Antalpha's platform worked together harmoniously. Our tokenized gold upside captured the constructive move in gold prices, and our lending portfolio, conservatively collateralized and still with no loss of principal to date, continued to reflect the risk discipline that has long defined our business.”</w:t>
      </w:r>
    </w:p>
    <w:p>
      <w:pPr>
        <w:spacing w:after="0" w:line="16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“Our central strategy is to build a comprehensive digital asset infrastructure platform over time, which may include expanding into adjacent opportunities that leverage our core strengths,” continued Mr. Liang. “As our most recent technology platform initiative, we are excited to have launched our Web3 AI agent in beta, bringing on-chain execution, data analytics, and crypto investment tools directly to end users, built on the deep Web3 expertise we have accumulated over our years specializing in this ecosystem. We are also advancing our tokenized gold strategy, which is beginning to generate meaningful yield. We believe these initiatives best position Antalpha to grow meaningfully across multiple dimensions of the digital asset ecosystem.”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Highlights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320" w:type="dxa"/>
            <w:vAlign w:val="bottom"/>
          </w:tcPr>
          <w:p>
            <w:pPr>
              <w:spacing w:after="0"/>
              <w:rPr>
                <w:sz w:val="24"/>
                <w:szCs w:val="24"/>
                <w:color w:val="auto"/>
              </w:rPr>
            </w:pPr>
          </w:p>
        </w:tc>
        <w:tc>
          <w:tcPr>
            <w:tcW w:w="3360" w:type="dxa"/>
            <w:vAlign w:val="bottom"/>
            <w:gridSpan w:val="5"/>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8"/>
              </w:rPr>
              <w:t>For the three Months Ended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20" w:type="dxa"/>
            <w:vAlign w:val="bottom"/>
          </w:tcPr>
          <w:p>
            <w:pPr>
              <w:spacing w:after="0"/>
              <w:rPr>
                <w:sz w:val="24"/>
                <w:szCs w:val="24"/>
                <w:color w:val="auto"/>
              </w:rPr>
            </w:pPr>
          </w:p>
        </w:tc>
        <w:tc>
          <w:tcPr>
            <w:tcW w:w="2180" w:type="dxa"/>
            <w:vAlign w:val="bottom"/>
            <w:tcBorders>
              <w:bottom w:val="single" w:sz="8" w:color="auto"/>
            </w:tcBorders>
            <w:gridSpan w:val="3"/>
          </w:tcPr>
          <w:p>
            <w:pPr>
              <w:jc w:val="center"/>
              <w:ind w:left="972"/>
              <w:spacing w:after="0"/>
              <w:rPr>
                <w:sz w:val="20"/>
                <w:szCs w:val="20"/>
                <w:color w:val="auto"/>
              </w:rPr>
            </w:pPr>
            <w:r>
              <w:rPr>
                <w:rFonts w:ascii="Times New Roman" w:cs="Times New Roman" w:eastAsia="Times New Roman" w:hAnsi="Times New Roman"/>
                <w:sz w:val="22"/>
                <w:szCs w:val="22"/>
                <w:b w:val="1"/>
                <w:bCs w:val="1"/>
                <w:color w:val="auto"/>
                <w:w w:val="97"/>
              </w:rPr>
              <w:t>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b w:val="1"/>
                <w:bCs w:val="1"/>
                <w:i w:val="1"/>
                <w:iCs w:val="1"/>
                <w:color w:val="auto"/>
              </w:rPr>
              <w:t>YOY</w:t>
            </w:r>
          </w:p>
        </w:tc>
        <w:tc>
          <w:tcPr>
            <w:tcW w:w="0" w:type="dxa"/>
            <w:vAlign w:val="bottom"/>
          </w:tcPr>
          <w:p>
            <w:pPr>
              <w:spacing w:after="0"/>
              <w:rPr>
                <w:sz w:val="1"/>
                <w:szCs w:val="1"/>
                <w:color w:val="auto"/>
              </w:rPr>
            </w:pPr>
          </w:p>
        </w:tc>
      </w:tr>
      <w:tr>
        <w:trPr>
          <w:trHeight w:val="265"/>
        </w:trPr>
        <w:tc>
          <w:tcPr>
            <w:tcW w:w="6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 US$1 millions, unaudited)</w:t>
            </w: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3"/>
                <w:szCs w:val="23"/>
                <w:color w:val="auto"/>
              </w:rPr>
            </w:pPr>
          </w:p>
        </w:tc>
        <w:tc>
          <w:tcPr>
            <w:tcW w:w="1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32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b w:val="1"/>
                <w:bCs w:val="1"/>
                <w:color w:val="auto"/>
              </w:rPr>
              <w:t>Total Revenue</w:t>
            </w:r>
          </w:p>
        </w:tc>
        <w:tc>
          <w:tcPr>
            <w:tcW w:w="1580" w:type="dxa"/>
            <w:vAlign w:val="bottom"/>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rPr>
              <w:t>$13.6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rPr>
              <w:t>$20.7</w:t>
            </w:r>
          </w:p>
        </w:tc>
        <w:tc>
          <w:tcPr>
            <w:tcW w:w="100" w:type="dxa"/>
            <w:vAlign w:val="bottom"/>
          </w:tcPr>
          <w:p>
            <w:pPr>
              <w:spacing w:after="0"/>
              <w:rPr>
                <w:sz w:val="21"/>
                <w:szCs w:val="21"/>
                <w:color w:val="auto"/>
              </w:rPr>
            </w:pPr>
          </w:p>
        </w:tc>
        <w:tc>
          <w:tcPr>
            <w:tcW w:w="1560" w:type="dxa"/>
            <w:vAlign w:val="bottom"/>
          </w:tcPr>
          <w:p>
            <w:pPr>
              <w:jc w:val="right"/>
              <w:ind w:right="12"/>
              <w:spacing w:after="0" w:line="245" w:lineRule="exact"/>
              <w:rPr>
                <w:sz w:val="20"/>
                <w:szCs w:val="20"/>
                <w:color w:val="auto"/>
              </w:rPr>
            </w:pPr>
            <w:r>
              <w:rPr>
                <w:rFonts w:ascii="Times New Roman" w:cs="Times New Roman" w:eastAsia="Times New Roman" w:hAnsi="Times New Roman"/>
                <w:sz w:val="22"/>
                <w:szCs w:val="22"/>
                <w:i w:val="1"/>
                <w:iCs w:val="1"/>
                <w:color w:val="auto"/>
              </w:rPr>
              <w:t>52%</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attributable to Antalpha*</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i w:val="1"/>
                <w:iCs w:val="1"/>
                <w:color w:val="auto"/>
              </w:rPr>
              <w:t>85%</w:t>
            </w:r>
          </w:p>
        </w:tc>
        <w:tc>
          <w:tcPr>
            <w:tcW w:w="0" w:type="dxa"/>
            <w:vAlign w:val="bottom"/>
          </w:tcPr>
          <w:p>
            <w:pPr>
              <w:spacing w:after="0"/>
              <w:rPr>
                <w:sz w:val="1"/>
                <w:szCs w:val="1"/>
                <w:color w:val="auto"/>
              </w:rPr>
            </w:pPr>
          </w:p>
        </w:tc>
      </w:tr>
      <w:tr>
        <w:trPr>
          <w:trHeight w:val="270"/>
        </w:trPr>
        <w:tc>
          <w:tcPr>
            <w:tcW w:w="63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Adjusted EBITDA (non-GAAP)**</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$13.3</w:t>
            </w:r>
          </w:p>
        </w:tc>
        <w:tc>
          <w:tcPr>
            <w:tcW w:w="10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435%</w:t>
            </w:r>
          </w:p>
        </w:tc>
        <w:tc>
          <w:tcPr>
            <w:tcW w:w="0" w:type="dxa"/>
            <w:vAlign w:val="bottom"/>
          </w:tcPr>
          <w:p>
            <w:pPr>
              <w:spacing w:after="0"/>
              <w:rPr>
                <w:sz w:val="1"/>
                <w:szCs w:val="1"/>
                <w:color w:val="auto"/>
              </w:rPr>
            </w:pPr>
          </w:p>
        </w:tc>
      </w:tr>
      <w:tr>
        <w:trPr>
          <w:trHeight w:val="286"/>
        </w:trPr>
        <w:tc>
          <w:tcPr>
            <w:tcW w:w="632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Adjusted EBITDA Margin (non-GAAP)*</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i w:val="1"/>
                <w:iCs w:val="1"/>
                <w:color w:val="auto"/>
              </w:rPr>
              <w:t>18%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i w:val="1"/>
                <w:iCs w:val="1"/>
                <w:color w:val="auto"/>
              </w:rPr>
              <w:t>64%</w:t>
            </w:r>
          </w:p>
        </w:tc>
        <w:tc>
          <w:tcPr>
            <w:tcW w:w="100" w:type="dxa"/>
            <w:vAlign w:val="bottom"/>
          </w:tcPr>
          <w:p>
            <w:pPr>
              <w:spacing w:after="0"/>
              <w:rPr>
                <w:sz w:val="24"/>
                <w:szCs w:val="24"/>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i w:val="1"/>
                <w:iCs w:val="1"/>
                <w:color w:val="auto"/>
              </w:rPr>
              <w:t>46 pts</w:t>
            </w:r>
          </w:p>
        </w:tc>
        <w:tc>
          <w:tcPr>
            <w:tcW w:w="0" w:type="dxa"/>
            <w:vAlign w:val="bottom"/>
          </w:tcPr>
          <w:p>
            <w:pPr>
              <w:spacing w:after="0"/>
              <w:rPr>
                <w:sz w:val="1"/>
                <w:szCs w:val="1"/>
                <w:color w:val="auto"/>
              </w:rPr>
            </w:pPr>
          </w:p>
        </w:tc>
      </w:tr>
      <w:tr>
        <w:trPr>
          <w:trHeight w:val="540"/>
        </w:trPr>
        <w:tc>
          <w:tcPr>
            <w:tcW w:w="6320" w:type="dxa"/>
            <w:vAlign w:val="bottom"/>
          </w:tcPr>
          <w:p>
            <w:pPr>
              <w:spacing w:after="0"/>
              <w:rPr>
                <w:sz w:val="24"/>
                <w:szCs w:val="24"/>
                <w:color w:val="auto"/>
              </w:rPr>
            </w:pPr>
          </w:p>
        </w:tc>
        <w:tc>
          <w:tcPr>
            <w:tcW w:w="3360" w:type="dxa"/>
            <w:vAlign w:val="bottom"/>
            <w:gridSpan w:val="5"/>
          </w:tcPr>
          <w:p>
            <w:pPr>
              <w:ind w:left="900"/>
              <w:spacing w:after="0"/>
              <w:rPr>
                <w:sz w:val="20"/>
                <w:szCs w:val="20"/>
                <w:color w:val="auto"/>
              </w:rPr>
            </w:pPr>
            <w:r>
              <w:rPr>
                <w:rFonts w:ascii="Times New Roman" w:cs="Times New Roman" w:eastAsia="Times New Roman" w:hAnsi="Times New Roman"/>
                <w:sz w:val="22"/>
                <w:szCs w:val="22"/>
                <w:b w:val="1"/>
                <w:bCs w:val="1"/>
                <w:color w:val="auto"/>
              </w:rPr>
              <w:t>As of March 31,</w:t>
            </w:r>
          </w:p>
        </w:tc>
        <w:tc>
          <w:tcPr>
            <w:tcW w:w="15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i w:val="1"/>
                <w:iCs w:val="1"/>
                <w:color w:val="auto"/>
              </w:rPr>
              <w:t>YOY</w:t>
            </w:r>
          </w:p>
        </w:tc>
        <w:tc>
          <w:tcPr>
            <w:tcW w:w="0" w:type="dxa"/>
            <w:vAlign w:val="bottom"/>
          </w:tcPr>
          <w:p>
            <w:pPr>
              <w:spacing w:after="0"/>
              <w:rPr>
                <w:sz w:val="1"/>
                <w:szCs w:val="1"/>
                <w:color w:val="auto"/>
              </w:rPr>
            </w:pPr>
          </w:p>
        </w:tc>
      </w:tr>
      <w:tr>
        <w:trPr>
          <w:trHeight w:val="265"/>
        </w:trPr>
        <w:tc>
          <w:tcPr>
            <w:tcW w:w="6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 US$1 millions, unaudited)</w:t>
            </w:r>
          </w:p>
        </w:tc>
        <w:tc>
          <w:tcPr>
            <w:tcW w:w="15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3"/>
                <w:szCs w:val="23"/>
                <w:color w:val="auto"/>
              </w:rPr>
            </w:pPr>
          </w:p>
        </w:tc>
        <w:tc>
          <w:tcPr>
            <w:tcW w:w="1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320" w:type="dxa"/>
            <w:vAlign w:val="bottom"/>
          </w:tcPr>
          <w:p>
            <w:pPr>
              <w:ind w:left="140"/>
              <w:spacing w:after="0" w:line="245" w:lineRule="exact"/>
              <w:rPr>
                <w:sz w:val="20"/>
                <w:szCs w:val="20"/>
                <w:color w:val="auto"/>
              </w:rPr>
            </w:pPr>
            <w:r>
              <w:rPr>
                <w:rFonts w:ascii="Times New Roman" w:cs="Times New Roman" w:eastAsia="Times New Roman" w:hAnsi="Times New Roman"/>
                <w:sz w:val="22"/>
                <w:szCs w:val="22"/>
                <w:b w:val="1"/>
                <w:bCs w:val="1"/>
                <w:color w:val="auto"/>
              </w:rPr>
              <w:t>Supply Chain TVL</w:t>
            </w:r>
          </w:p>
        </w:tc>
        <w:tc>
          <w:tcPr>
            <w:tcW w:w="1580" w:type="dxa"/>
            <w:vAlign w:val="bottom"/>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rPr>
              <w:t>$578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2"/>
              <w:spacing w:after="0" w:line="245" w:lineRule="exact"/>
              <w:rPr>
                <w:sz w:val="20"/>
                <w:szCs w:val="20"/>
                <w:color w:val="auto"/>
              </w:rPr>
            </w:pPr>
            <w:r>
              <w:rPr>
                <w:rFonts w:ascii="Times New Roman" w:cs="Times New Roman" w:eastAsia="Times New Roman" w:hAnsi="Times New Roman"/>
                <w:sz w:val="22"/>
                <w:szCs w:val="22"/>
                <w:color w:val="auto"/>
              </w:rPr>
              <w:t>$434</w:t>
            </w:r>
          </w:p>
        </w:tc>
        <w:tc>
          <w:tcPr>
            <w:tcW w:w="100" w:type="dxa"/>
            <w:vAlign w:val="bottom"/>
          </w:tcPr>
          <w:p>
            <w:pPr>
              <w:spacing w:after="0"/>
              <w:rPr>
                <w:sz w:val="21"/>
                <w:szCs w:val="21"/>
                <w:color w:val="auto"/>
              </w:rPr>
            </w:pPr>
          </w:p>
        </w:tc>
        <w:tc>
          <w:tcPr>
            <w:tcW w:w="1560" w:type="dxa"/>
            <w:vAlign w:val="bottom"/>
          </w:tcPr>
          <w:p>
            <w:pPr>
              <w:jc w:val="right"/>
              <w:ind w:right="12"/>
              <w:spacing w:after="0" w:line="245" w:lineRule="exact"/>
              <w:rPr>
                <w:sz w:val="20"/>
                <w:szCs w:val="20"/>
                <w:color w:val="auto"/>
              </w:rPr>
            </w:pPr>
            <w:r>
              <w:rPr>
                <w:rFonts w:ascii="Times New Roman" w:cs="Times New Roman" w:eastAsia="Times New Roman" w:hAnsi="Times New Roman"/>
                <w:sz w:val="22"/>
                <w:szCs w:val="22"/>
                <w:i w:val="1"/>
                <w:iCs w:val="1"/>
                <w:color w:val="auto"/>
              </w:rPr>
              <w:t>-25%</w:t>
            </w:r>
          </w:p>
        </w:tc>
        <w:tc>
          <w:tcPr>
            <w:tcW w:w="0" w:type="dxa"/>
            <w:vAlign w:val="bottom"/>
          </w:tcPr>
          <w:p>
            <w:pPr>
              <w:spacing w:after="0"/>
              <w:rPr>
                <w:sz w:val="1"/>
                <w:szCs w:val="1"/>
                <w:color w:val="auto"/>
              </w:rPr>
            </w:pPr>
          </w:p>
        </w:tc>
      </w:tr>
      <w:tr>
        <w:trPr>
          <w:trHeight w:val="270"/>
        </w:trPr>
        <w:tc>
          <w:tcPr>
            <w:tcW w:w="63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Margin Loan TVL***</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$1,189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$1,280</w:t>
            </w:r>
          </w:p>
        </w:tc>
        <w:tc>
          <w:tcPr>
            <w:tcW w:w="10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6"/>
        </w:trPr>
        <w:tc>
          <w:tcPr>
            <w:tcW w:w="63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Value of Loans (TVL) Facilitated</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$1,767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$1,714</w:t>
            </w:r>
          </w:p>
        </w:tc>
        <w:tc>
          <w:tcPr>
            <w:tcW w:w="100" w:type="dxa"/>
            <w:vAlign w:val="bottom"/>
          </w:tcPr>
          <w:p>
            <w:pPr>
              <w:spacing w:after="0"/>
              <w:rPr>
                <w:sz w:val="24"/>
                <w:szCs w:val="24"/>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22"/>
                <w:szCs w:val="22"/>
                <w:i w:val="1"/>
                <w:iCs w:val="1"/>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280" w:firstLine="8"/>
        <w:spacing w:after="0" w:line="24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Q1 2026 results reflect the consolidated results of the Company and Aurelion (NASDAQ: AURE) following the acquisition of a controlling interest in Aurelion on October 10, 2025, whereas Q1 2025 results represent the Company's standalone results.</w:t>
      </w:r>
    </w:p>
    <w:p>
      <w:pPr>
        <w:spacing w:after="0" w:line="173" w:lineRule="exact"/>
        <w:rPr>
          <w:sz w:val="20"/>
          <w:szCs w:val="20"/>
          <w:color w:val="auto"/>
        </w:rPr>
      </w:pPr>
    </w:p>
    <w:p>
      <w:pPr>
        <w:ind w:right="220" w:firstLine="8"/>
        <w:spacing w:after="0" w:line="258" w:lineRule="auto"/>
        <w:tabs>
          <w:tab w:leader="none" w:pos="27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“Non-GAAP Measures” and “Reconciliations of non-GAAP financial measures to the nearest comparable GAAP measures” below for further information on non-GAAP numbers.</w:t>
      </w:r>
    </w:p>
    <w:p>
      <w:pPr>
        <w:spacing w:after="0" w:line="15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Antalpha earns technology platform fees on margin loans, which it acts as an agent and assumes no principal credit exposure.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Performance Highlights</w:t>
      </w:r>
    </w:p>
    <w:p>
      <w:pPr>
        <w:spacing w:after="0" w:line="206" w:lineRule="exact"/>
        <w:rPr>
          <w:sz w:val="20"/>
          <w:szCs w:val="20"/>
          <w:color w:val="auto"/>
        </w:rPr>
      </w:pPr>
    </w:p>
    <w:p>
      <w:pPr>
        <w:ind w:left="540" w:hanging="208"/>
        <w:spacing w:after="0"/>
        <w:tabs>
          <w:tab w:leader="none" w:pos="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Resilient Revenue Growth</w:t>
      </w:r>
    </w:p>
    <w:p>
      <w:pPr>
        <w:spacing w:after="0" w:line="18" w:lineRule="exact"/>
        <w:rPr>
          <w:sz w:val="20"/>
          <w:szCs w:val="20"/>
          <w:color w:val="auto"/>
        </w:rPr>
      </w:pPr>
    </w:p>
    <w:p>
      <w:pPr>
        <w:ind w:left="1080" w:right="300"/>
        <w:spacing w:after="0" w:line="237" w:lineRule="auto"/>
        <w:rPr>
          <w:sz w:val="20"/>
          <w:szCs w:val="20"/>
          <w:color w:val="auto"/>
        </w:rPr>
      </w:pPr>
      <w:r>
        <w:rPr>
          <w:rFonts w:ascii="Times New Roman" w:cs="Times New Roman" w:eastAsia="Times New Roman" w:hAnsi="Times New Roman"/>
          <w:sz w:val="22"/>
          <w:szCs w:val="22"/>
          <w:color w:val="auto"/>
        </w:rPr>
        <w:t>Total revenue was $20.7 million, an increase of 52% year-over-year (“YOY”), reflecting continued platform scale despite a challenging market backdrop.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hanging="208"/>
        <w:spacing w:after="0"/>
        <w:tabs>
          <w:tab w:leader="none" w:pos="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High-Quality Loan Book</w:t>
      </w:r>
    </w:p>
    <w:p>
      <w:pPr>
        <w:spacing w:after="0" w:line="18" w:lineRule="exact"/>
        <w:rPr>
          <w:sz w:val="20"/>
          <w:szCs w:val="20"/>
          <w:color w:val="auto"/>
        </w:rPr>
      </w:pPr>
    </w:p>
    <w:p>
      <w:pPr>
        <w:ind w:left="1080" w:right="460"/>
        <w:spacing w:after="0" w:line="230" w:lineRule="auto"/>
        <w:rPr>
          <w:sz w:val="20"/>
          <w:szCs w:val="20"/>
          <w:color w:val="auto"/>
        </w:rPr>
      </w:pPr>
      <w:r>
        <w:rPr>
          <w:rFonts w:ascii="Times New Roman" w:cs="Times New Roman" w:eastAsia="Times New Roman" w:hAnsi="Times New Roman"/>
          <w:sz w:val="22"/>
          <w:szCs w:val="22"/>
          <w:color w:val="auto"/>
        </w:rPr>
        <w:t>Maintained disciplined collateral coverage and risk management standards across the platform.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620" w:right="160"/>
        <w:spacing w:after="0" w:line="230" w:lineRule="auto"/>
        <w:rPr>
          <w:sz w:val="20"/>
          <w:szCs w:val="20"/>
          <w:color w:val="auto"/>
        </w:rPr>
      </w:pPr>
      <w:r>
        <w:rPr>
          <w:rFonts w:ascii="Times New Roman" w:cs="Times New Roman" w:eastAsia="Times New Roman" w:hAnsi="Times New Roman"/>
          <w:sz w:val="22"/>
          <w:szCs w:val="22"/>
          <w:color w:val="auto"/>
        </w:rPr>
        <w:t>Total value of loans (“TVL”) per client increased 36% YOY, indicating deeper client relationships and higher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620" w:right="80"/>
        <w:spacing w:after="0" w:line="237" w:lineRule="auto"/>
        <w:rPr>
          <w:sz w:val="20"/>
          <w:szCs w:val="20"/>
          <w:color w:val="auto"/>
        </w:rPr>
      </w:pPr>
      <w:r>
        <w:rPr>
          <w:rFonts w:ascii="Times New Roman" w:cs="Times New Roman" w:eastAsia="Times New Roman" w:hAnsi="Times New Roman"/>
          <w:sz w:val="22"/>
          <w:szCs w:val="22"/>
          <w:color w:val="auto"/>
        </w:rPr>
        <w:t>TVL was $1.7 billion, a 3% decrease YOY, reflecting more measured deployment activity in a weaker Bitcoin price environment and substantial loan repayments by certain large borrowers in early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hanging="208"/>
        <w:spacing w:after="0"/>
        <w:tabs>
          <w:tab w:leader="none" w:pos="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Improved Lending Economics</w:t>
      </w:r>
    </w:p>
    <w:p>
      <w:pPr>
        <w:spacing w:after="0" w:line="18" w:lineRule="exact"/>
        <w:rPr>
          <w:sz w:val="20"/>
          <w:szCs w:val="20"/>
          <w:color w:val="auto"/>
        </w:rPr>
      </w:pPr>
    </w:p>
    <w:p>
      <w:pPr>
        <w:ind w:left="1080" w:right="180"/>
        <w:spacing w:after="0" w:line="235" w:lineRule="auto"/>
        <w:rPr>
          <w:sz w:val="20"/>
          <w:szCs w:val="20"/>
          <w:color w:val="auto"/>
        </w:rPr>
      </w:pPr>
      <w:r>
        <w:rPr>
          <w:rFonts w:ascii="Times New Roman" w:cs="Times New Roman" w:eastAsia="Times New Roman" w:hAnsi="Times New Roman"/>
          <w:sz w:val="22"/>
          <w:szCs w:val="22"/>
          <w:color w:val="auto"/>
        </w:rPr>
        <w:t>Net fee margin (“NFM”) increased 21 basis points YOY, demonstrating the platform's continued pricing power and product mix management. The improvement was led by stronger margin loan take rates, while supply chain loan margins remained resilient against a backdrop of evolving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-421640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hanging="208"/>
        <w:spacing w:after="0"/>
        <w:tabs>
          <w:tab w:leader="none" w:pos="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Operating Expenses</w:t>
      </w:r>
    </w:p>
    <w:p>
      <w:pPr>
        <w:sectPr>
          <w:pgSz w:w="11900" w:h="16838" w:orient="portrait"/>
          <w:cols w:equalWidth="0" w:num="1">
            <w:col w:w="11240"/>
          </w:cols>
          <w:pgMar w:left="320" w:top="108" w:right="339" w:bottom="0" w:gutter="0" w:footer="0" w:header="0"/>
        </w:sectPr>
      </w:pPr>
    </w:p>
    <w:bookmarkStart w:id="4" w:name="page5"/>
    <w:bookmarkEnd w:id="4"/>
    <w:p>
      <w:pPr>
        <w:ind w:left="1080" w:right="20"/>
        <w:spacing w:after="0"/>
        <w:rPr>
          <w:sz w:val="20"/>
          <w:szCs w:val="20"/>
          <w:color w:val="auto"/>
        </w:rPr>
      </w:pPr>
      <w:r>
        <w:rPr>
          <w:rFonts w:ascii="Times New Roman" w:cs="Times New Roman" w:eastAsia="Times New Roman" w:hAnsi="Times New Roman"/>
          <w:sz w:val="22"/>
          <w:szCs w:val="22"/>
          <w:color w:val="auto"/>
        </w:rPr>
        <w:t>Operating expenses excluding unrealized gain on crypto assets were $25.0 million, up 102% YOY, including funding costs of $10.4 million and approximately $3.3 million of one-time restructuring charges and $1.3 million non-cash share-based compensation combined. Non-GAAP operating expenses, which exclude unrealized gain on crypto assets, one-time and non-cash items, were $20.4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-576580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hanging="208"/>
        <w:spacing w:after="0"/>
        <w:tabs>
          <w:tab w:leader="none" w:pos="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Measured Profitability</w:t>
      </w:r>
    </w:p>
    <w:p>
      <w:pPr>
        <w:spacing w:after="0" w:line="18" w:lineRule="exact"/>
        <w:rPr>
          <w:sz w:val="20"/>
          <w:szCs w:val="20"/>
          <w:color w:val="auto"/>
        </w:rPr>
      </w:pPr>
    </w:p>
    <w:p>
      <w:pPr>
        <w:jc w:val="both"/>
        <w:ind w:left="1080" w:right="160"/>
        <w:spacing w:after="0" w:line="241" w:lineRule="auto"/>
        <w:rPr>
          <w:sz w:val="20"/>
          <w:szCs w:val="20"/>
          <w:color w:val="auto"/>
        </w:rPr>
      </w:pPr>
      <w:r>
        <w:rPr>
          <w:rFonts w:ascii="Times New Roman" w:cs="Times New Roman" w:eastAsia="Times New Roman" w:hAnsi="Times New Roman"/>
          <w:sz w:val="21"/>
          <w:szCs w:val="21"/>
          <w:color w:val="auto"/>
        </w:rPr>
        <w:t>Operating income was $6.6 million, representing an operating margin of 32%, primarily reflecting $10.9 million in unrealized fair value gains on XAUt holdings by Aurelion. Non-GAAP operating income, which excludes one-time and non-cash items of $4.6 million, was $11.2 million, representing a non-GAAP operating margin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-412115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220"/>
        <w:spacing w:after="0" w:line="230" w:lineRule="auto"/>
        <w:rPr>
          <w:sz w:val="20"/>
          <w:szCs w:val="20"/>
          <w:color w:val="auto"/>
        </w:rPr>
      </w:pPr>
      <w:r>
        <w:rPr>
          <w:rFonts w:ascii="Times New Roman" w:cs="Times New Roman" w:eastAsia="Times New Roman" w:hAnsi="Times New Roman"/>
          <w:sz w:val="22"/>
          <w:szCs w:val="22"/>
          <w:color w:val="auto"/>
        </w:rPr>
        <w:t>Net income attributable to Antalpha was $2.7 million, compared to $1.5 million in the prior-year period. Prior-year figures reflect Antalpha standalone results, as consolidation of Aurelion began in Q4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340"/>
        <w:spacing w:after="0" w:line="237" w:lineRule="auto"/>
        <w:rPr>
          <w:sz w:val="20"/>
          <w:szCs w:val="20"/>
          <w:color w:val="auto"/>
        </w:rPr>
      </w:pPr>
      <w:r>
        <w:rPr>
          <w:rFonts w:ascii="Times New Roman" w:cs="Times New Roman" w:eastAsia="Times New Roman" w:hAnsi="Times New Roman"/>
          <w:sz w:val="22"/>
          <w:szCs w:val="22"/>
          <w:color w:val="auto"/>
        </w:rPr>
        <w:t>Adjusted EBITDA was $13.3 million, including approximately $12.9 million in unrealized gains related to XAUt holdings. Adjusted EBITDA margin was 64%, compared to 18%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hanging="208"/>
        <w:spacing w:after="0"/>
        <w:tabs>
          <w:tab w:leader="none" w:pos="5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Scaling Tokenized Gold</w:t>
      </w:r>
    </w:p>
    <w:p>
      <w:pPr>
        <w:spacing w:after="0" w:line="18" w:lineRule="exact"/>
        <w:rPr>
          <w:sz w:val="20"/>
          <w:szCs w:val="20"/>
          <w:color w:val="auto"/>
        </w:rPr>
      </w:pPr>
    </w:p>
    <w:p>
      <w:pPr>
        <w:ind w:left="1080" w:right="440"/>
        <w:spacing w:after="0" w:line="230" w:lineRule="auto"/>
        <w:rPr>
          <w:sz w:val="20"/>
          <w:szCs w:val="20"/>
          <w:color w:val="auto"/>
        </w:rPr>
      </w:pPr>
      <w:r>
        <w:rPr>
          <w:rFonts w:ascii="Times New Roman" w:cs="Times New Roman" w:eastAsia="Times New Roman" w:hAnsi="Times New Roman"/>
          <w:sz w:val="22"/>
          <w:szCs w:val="22"/>
          <w:color w:val="auto"/>
        </w:rPr>
        <w:t>Antalpha continued to methodically build its tokenized gold strategy, with a focus on enhancing utility and yield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440"/>
        <w:spacing w:after="0" w:line="237" w:lineRule="auto"/>
        <w:rPr>
          <w:sz w:val="20"/>
          <w:szCs w:val="20"/>
          <w:color w:val="auto"/>
        </w:rPr>
      </w:pPr>
      <w:r>
        <w:rPr>
          <w:rFonts w:ascii="Times New Roman" w:cs="Times New Roman" w:eastAsia="Times New Roman" w:hAnsi="Times New Roman"/>
          <w:sz w:val="22"/>
          <w:szCs w:val="22"/>
          <w:color w:val="auto"/>
        </w:rPr>
        <w:t>In April, the Company began deploying assets into yield-generating protocols, marking a transition toward more productive use of tokenized gold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Initiative: Web3 AI -- Building Additional Growth Curve</w:t>
      </w:r>
    </w:p>
    <w:p>
      <w:pPr>
        <w:spacing w:after="0" w:line="1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As a natural extension of its technology platform, Antalpha has begun developing a Web3 AI agent, a new product designed to enable users to interact with blockchain networks, access on-chain data, and execute crypto-related tasks through natural language. The initiative builds directly on the Company's established position at the intersection of crypto financing, blockchain data, and compute infrastructure, extending these capabilities into an adjacent opportunity. The Company's deep Web3 domain expertise and existing client relationships within the Bitcoin mining ecosystem provide a natural and differentiated foundation for this development, and Antalpha is excited about its potential.</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In May 2026, the Company launched an early-stage version of the product in beta, with initial market testing underway. The Company is currently focused on product development and market validation. Financial impact—from both a revenue and expense perspective—is not expected to be material in the near term. Further updates will be provided as the initiative progresses.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1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1"/>
          <w:szCs w:val="21"/>
          <w:color w:val="auto"/>
        </w:rPr>
        <w:t>Antalpha expects Q2 2026 revenue between $11 million and $13 million. The Company’s guidance assumes continued demand for crypto-collateralized financing, with market conditions remaining dynamic but broadly consistent with recent trends.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forecast reflects Antalpha’s current preliminary view, which is subject to substantial risks and uncertainties. The Company is not obliged to update any forward-looking statements, except as required by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18"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2"/>
          <w:szCs w:val="22"/>
          <w:color w:val="auto"/>
        </w:rPr>
        <w:t>Antalpha’s management will host a conference call today, May 19, 2026, at 8:00 a.m. Eastern Time to discuss the Company’s financial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To attend, please register in advance at: </w:t>
      </w:r>
      <w:r>
        <w:rPr>
          <w:rFonts w:ascii="Times New Roman" w:cs="Times New Roman" w:eastAsia="Times New Roman" w:hAnsi="Times New Roman"/>
          <w:sz w:val="21"/>
          <w:szCs w:val="21"/>
          <w:u w:val="single" w:color="auto"/>
          <w:color w:val="auto"/>
        </w:rPr>
        <w:t>https://register-conf.media-server.com/register/BIfb7cbcb3ef3e4019a79ca07ecd069108</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registration, you will receive a calendar invite email that includes dial-in number, passcode, and your unique access PIN.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 live webcast can be accessed at </w:t>
      </w:r>
      <w:r>
        <w:rPr>
          <w:rFonts w:ascii="Times New Roman" w:cs="Times New Roman" w:eastAsia="Times New Roman" w:hAnsi="Times New Roman"/>
          <w:sz w:val="22"/>
          <w:szCs w:val="22"/>
          <w:u w:val="single" w:color="auto"/>
          <w:color w:val="auto"/>
        </w:rPr>
        <w:t>https://edge.media-server.com/mmc/p/4jef7vmv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 replay of the call will also be available on the Company’s investor relations website at </w:t>
      </w:r>
      <w:r>
        <w:rPr>
          <w:rFonts w:ascii="Times New Roman" w:cs="Times New Roman" w:eastAsia="Times New Roman" w:hAnsi="Times New Roman"/>
          <w:sz w:val="22"/>
          <w:szCs w:val="22"/>
          <w:u w:val="single" w:color="auto"/>
          <w:color w:val="auto"/>
        </w:rPr>
        <w:t>https://ir.antalpha.com</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Measures</w:t>
      </w:r>
    </w:p>
    <w:p>
      <w:pPr>
        <w:spacing w:after="0" w:line="18" w:lineRule="exact"/>
        <w:rPr>
          <w:sz w:val="20"/>
          <w:szCs w:val="20"/>
          <w:color w:val="auto"/>
        </w:rPr>
      </w:pPr>
    </w:p>
    <w:p>
      <w:pPr>
        <w:jc w:val="both"/>
        <w:ind w:right="680"/>
        <w:spacing w:after="0" w:line="235" w:lineRule="auto"/>
        <w:rPr>
          <w:sz w:val="20"/>
          <w:szCs w:val="20"/>
          <w:color w:val="auto"/>
        </w:rPr>
      </w:pPr>
      <w:r>
        <w:rPr>
          <w:rFonts w:ascii="Times New Roman" w:cs="Times New Roman" w:eastAsia="Times New Roman" w:hAnsi="Times New Roman"/>
          <w:sz w:val="22"/>
          <w:szCs w:val="22"/>
          <w:color w:val="auto"/>
        </w:rPr>
        <w:t>In addition to financial measures presented under generally accepted accounting principles in the United States, or GAAP, Antalpha evaluates non-GAAP financial measures such as non-GAAP operating income, adjusted EBITDA and adjusted EBITDA margin.</w:t>
      </w:r>
    </w:p>
    <w:p>
      <w:pPr>
        <w:spacing w:after="0" w:line="178"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The Company believes these adjustments eliminate the effects of certain non-cash and/or non-recurring items that the Company believes complements management’s understanding of its ongoing operational results. However, non-GAAP measures are presented for supplemental informational purposes only, have limitations as an analytical tool, and should not be considered in isolation or as a substitute for financial information presented in accordance with GAAP. In addition, other companies, including companies in its industry, may calculate similarly titled non-GAAP measures differently or may use other measures to evaluate their performance, all of which could reduce the usefulness of its non-GAAP financial measures as tools for comparison. Antalpha will continually evaluate the usefulness of such metrics. The Company believes that non-GAAP measures may be helpful to investors, because they provide consistency and comparability with past financial performance and with how management views its financial performance.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Non-GAAP operating income represents operating income before share-based compensation expenses and one-time restructuring charges. Non-GAAP operating margin represents the ratio between non-GAAP operating income and revenue.</w:t>
      </w:r>
    </w:p>
    <w:p>
      <w:pPr>
        <w:sectPr>
          <w:pgSz w:w="11900" w:h="16838" w:orient="portrait"/>
          <w:cols w:equalWidth="0" w:num="1">
            <w:col w:w="11240"/>
          </w:cols>
          <w:pgMar w:left="320" w:top="112" w:right="339" w:bottom="0" w:gutter="0" w:footer="0" w:header="0"/>
        </w:sectPr>
      </w:pPr>
    </w:p>
    <w:bookmarkStart w:id="5" w:name="page6"/>
    <w:bookmarkEnd w:id="5"/>
    <w:p>
      <w:pPr>
        <w:ind w:right="300"/>
        <w:spacing w:after="0" w:line="255" w:lineRule="auto"/>
        <w:rPr>
          <w:sz w:val="20"/>
          <w:szCs w:val="20"/>
          <w:color w:val="auto"/>
        </w:rPr>
      </w:pPr>
      <w:r>
        <w:rPr>
          <w:rFonts w:ascii="Times New Roman" w:cs="Times New Roman" w:eastAsia="Times New Roman" w:hAnsi="Times New Roman"/>
          <w:sz w:val="21"/>
          <w:szCs w:val="21"/>
          <w:color w:val="auto"/>
        </w:rPr>
        <w:t>Adjusted EBITDA (non-GAAP) represents net income before interest (if non-operating), taxes, depreciation and amortization, share-based compensation expenses, and one-time restructuring charges, and includes unrealized gain on crypto assets. The Company’s funding cost is an operating item and a significant component of its business. As such, it is not excluded from adjusted EBITDA. Adjusted EBITDA Margin represents the ratio between adjusted EBITDA and revenue.</w:t>
      </w:r>
    </w:p>
    <w:p>
      <w:pPr>
        <w:spacing w:after="0" w:line="16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For more information on non-GAAP financial measures, please see “Reconciliations of non-GAAP financial measures to the nearest comparable GAAP measures.”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Antalpha</w:t>
      </w:r>
    </w:p>
    <w:p>
      <w:pPr>
        <w:spacing w:after="0" w:line="1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Antalpha is a leading fintech company specializing in providing financing, technology, and risk management solutions to the Web3 industry. Antalpha offers Bitcoin supply chain and margin loans through the Antalpha Prime technology platform, which allows customers to originate and manage their digital assets loans, as well as monitor collateral positions with near real-time data. Building on this foundation, Antalpha is also exploring AI-powered tools to help users navigate the digital asset space more effectively.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Antalpha’s beliefs, plans, and expectations, are forward-looking statements. Forward-looking statements involve inherent risks and uncertainties. Further information regarding these and other risks is included in Antalpha’s filings with the SEC. All information provided in this press release is as of the date of this press release, and Antalpha does not undertake any obligation to update any forward-looking statement, except as required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Investor Contact: </w:t>
      </w:r>
      <w:r>
        <w:rPr>
          <w:rFonts w:ascii="Times New Roman" w:cs="Times New Roman" w:eastAsia="Times New Roman" w:hAnsi="Times New Roman"/>
          <w:sz w:val="22"/>
          <w:szCs w:val="22"/>
          <w:u w:val="single" w:color="auto"/>
          <w:color w:val="auto"/>
        </w:rPr>
        <w:t>ir@antalpha.com</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Condensed Combined and Consolidated Balance Sheets</w:t>
      </w:r>
    </w:p>
    <w:p>
      <w:pPr>
        <w:jc w:val="center"/>
        <w:ind w:right="-39"/>
        <w:spacing w:after="0"/>
        <w:rPr>
          <w:sz w:val="20"/>
          <w:szCs w:val="20"/>
          <w:color w:val="auto"/>
        </w:rPr>
      </w:pPr>
      <w:r>
        <w:rPr>
          <w:rFonts w:ascii="Times New Roman" w:cs="Times New Roman" w:eastAsia="Times New Roman" w:hAnsi="Times New Roman"/>
          <w:sz w:val="22"/>
          <w:szCs w:val="22"/>
          <w:color w:val="auto"/>
        </w:rPr>
        <w:t>(in USD, 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560" w:type="dxa"/>
            <w:vAlign w:val="bottom"/>
          </w:tcPr>
          <w:p>
            <w:pPr>
              <w:spacing w:after="0"/>
              <w:rPr>
                <w:sz w:val="23"/>
                <w:szCs w:val="23"/>
                <w:color w:val="auto"/>
              </w:rPr>
            </w:pPr>
          </w:p>
        </w:tc>
        <w:tc>
          <w:tcPr>
            <w:tcW w:w="280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As of December 31,</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As of March 31,</w:t>
            </w:r>
          </w:p>
        </w:tc>
        <w:tc>
          <w:tcPr>
            <w:tcW w:w="0" w:type="dxa"/>
            <w:vAlign w:val="bottom"/>
          </w:tcPr>
          <w:p>
            <w:pPr>
              <w:spacing w:after="0"/>
              <w:rPr>
                <w:sz w:val="1"/>
                <w:szCs w:val="1"/>
                <w:color w:val="auto"/>
              </w:rPr>
            </w:pPr>
          </w:p>
        </w:tc>
      </w:tr>
      <w:tr>
        <w:trPr>
          <w:trHeight w:val="286"/>
        </w:trPr>
        <w:tc>
          <w:tcPr>
            <w:tcW w:w="65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800" w:type="dxa"/>
            <w:vAlign w:val="bottom"/>
          </w:tcPr>
          <w:p>
            <w:pPr>
              <w:jc w:val="right"/>
              <w:ind w:right="8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720" w:type="dxa"/>
            <w:vAlign w:val="bottom"/>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0" w:type="dxa"/>
            <w:vAlign w:val="bottom"/>
          </w:tcPr>
          <w:p>
            <w:pPr>
              <w:spacing w:after="0"/>
              <w:rPr>
                <w:sz w:val="1"/>
                <w:szCs w:val="1"/>
                <w:color w:val="auto"/>
              </w:rPr>
            </w:pPr>
          </w:p>
        </w:tc>
      </w:tr>
      <w:tr>
        <w:trPr>
          <w:trHeight w:val="254"/>
        </w:trPr>
        <w:tc>
          <w:tcPr>
            <w:tcW w:w="6560" w:type="dxa"/>
            <w:vAlign w:val="bottom"/>
            <w:vMerge w:val="continue"/>
          </w:tcPr>
          <w:p>
            <w:pPr>
              <w:spacing w:after="0"/>
              <w:rPr>
                <w:sz w:val="22"/>
                <w:szCs w:val="22"/>
                <w:color w:val="auto"/>
              </w:rPr>
            </w:pPr>
          </w:p>
        </w:tc>
        <w:tc>
          <w:tcPr>
            <w:tcW w:w="28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28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7,850,170</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6,009,155</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held (including USDC)</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12,619,660</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52,270,876</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XAUt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72,476,837</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78,894,054</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receivable</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7,971,109</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10,928,110</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Amounts due from related parties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6,131,139</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4,518,763</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 receivables due from related party, 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30,580,728</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 receivables, 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330,641,034</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363,732,258</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6,626,198</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7,144,578</w:t>
            </w:r>
          </w:p>
        </w:tc>
        <w:tc>
          <w:tcPr>
            <w:tcW w:w="0" w:type="dxa"/>
            <w:vAlign w:val="bottom"/>
          </w:tcPr>
          <w:p>
            <w:pPr>
              <w:spacing w:after="0"/>
              <w:rPr>
                <w:sz w:val="1"/>
                <w:szCs w:val="1"/>
                <w:color w:val="auto"/>
              </w:rPr>
            </w:pPr>
          </w:p>
        </w:tc>
      </w:tr>
      <w:tr>
        <w:trPr>
          <w:trHeight w:val="266"/>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collateral receivable from related party, 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429,876,959</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467,883,367</w:t>
            </w:r>
          </w:p>
        </w:tc>
        <w:tc>
          <w:tcPr>
            <w:tcW w:w="0" w:type="dxa"/>
            <w:vAlign w:val="bottom"/>
          </w:tcPr>
          <w:p>
            <w:pPr>
              <w:spacing w:after="0"/>
              <w:rPr>
                <w:sz w:val="1"/>
                <w:szCs w:val="1"/>
                <w:color w:val="auto"/>
              </w:rPr>
            </w:pPr>
          </w:p>
        </w:tc>
      </w:tr>
      <w:tr>
        <w:trPr>
          <w:trHeight w:val="270"/>
        </w:trPr>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874,193,106</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1,021,961,889</w:t>
            </w:r>
          </w:p>
        </w:tc>
        <w:tc>
          <w:tcPr>
            <w:tcW w:w="0" w:type="dxa"/>
            <w:vAlign w:val="bottom"/>
          </w:tcPr>
          <w:p>
            <w:pPr>
              <w:spacing w:after="0"/>
              <w:rPr>
                <w:sz w:val="1"/>
                <w:szCs w:val="1"/>
                <w:color w:val="auto"/>
              </w:rPr>
            </w:pPr>
          </w:p>
        </w:tc>
      </w:tr>
      <w:tr>
        <w:trPr>
          <w:trHeight w:val="274"/>
        </w:trPr>
        <w:tc>
          <w:tcPr>
            <w:tcW w:w="6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Non-current assets:</w:t>
            </w:r>
          </w:p>
        </w:tc>
        <w:tc>
          <w:tcPr>
            <w:tcW w:w="28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Deferred tax assets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422,922</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726,310</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 receivables due from related party, non-current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556,920,339</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 receivables, non-current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113,262,652</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39,480,308</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collateral receivable from related party, non-current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826,968,973</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113,038,785</w:t>
            </w:r>
          </w:p>
        </w:tc>
        <w:tc>
          <w:tcPr>
            <w:tcW w:w="0" w:type="dxa"/>
            <w:vAlign w:val="bottom"/>
          </w:tcPr>
          <w:p>
            <w:pPr>
              <w:spacing w:after="0"/>
              <w:rPr>
                <w:sz w:val="1"/>
                <w:szCs w:val="1"/>
                <w:color w:val="auto"/>
              </w:rPr>
            </w:pPr>
          </w:p>
        </w:tc>
      </w:tr>
      <w:tr>
        <w:trPr>
          <w:trHeight w:val="279"/>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Investment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10,314,161</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10,314,161</w:t>
            </w:r>
          </w:p>
        </w:tc>
        <w:tc>
          <w:tcPr>
            <w:tcW w:w="0" w:type="dxa"/>
            <w:vAlign w:val="bottom"/>
          </w:tcPr>
          <w:p>
            <w:pPr>
              <w:spacing w:after="0"/>
              <w:rPr>
                <w:sz w:val="1"/>
                <w:szCs w:val="1"/>
                <w:color w:val="auto"/>
              </w:rPr>
            </w:pPr>
          </w:p>
        </w:tc>
      </w:tr>
      <w:tr>
        <w:trPr>
          <w:trHeight w:val="324"/>
        </w:trPr>
        <w:tc>
          <w:tcPr>
            <w:tcW w:w="656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Goodwill</w:t>
            </w:r>
            <w:r>
              <w:rPr>
                <w:rFonts w:ascii="Times New Roman" w:cs="Times New Roman" w:eastAsia="Times New Roman" w:hAnsi="Times New Roman"/>
                <w:sz w:val="35"/>
                <w:szCs w:val="35"/>
                <w:color w:val="auto"/>
                <w:vertAlign w:val="superscript"/>
              </w:rPr>
              <w:t>(i)</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21,652,968</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21,652,968</w:t>
            </w:r>
          </w:p>
        </w:tc>
        <w:tc>
          <w:tcPr>
            <w:tcW w:w="0" w:type="dxa"/>
            <w:vAlign w:val="bottom"/>
          </w:tcPr>
          <w:p>
            <w:pPr>
              <w:spacing w:after="0"/>
              <w:rPr>
                <w:sz w:val="1"/>
                <w:szCs w:val="1"/>
                <w:color w:val="auto"/>
              </w:rPr>
            </w:pPr>
          </w:p>
        </w:tc>
      </w:tr>
      <w:tr>
        <w:trPr>
          <w:trHeight w:val="311"/>
        </w:trPr>
        <w:tc>
          <w:tcPr>
            <w:tcW w:w="6560" w:type="dxa"/>
            <w:vAlign w:val="bottom"/>
          </w:tcPr>
          <w:p>
            <w:pPr>
              <w:ind w:left="200"/>
              <w:spacing w:after="0" w:line="311" w:lineRule="exact"/>
              <w:rPr>
                <w:sz w:val="20"/>
                <w:szCs w:val="20"/>
                <w:color w:val="auto"/>
              </w:rPr>
            </w:pPr>
            <w:r>
              <w:rPr>
                <w:rFonts w:ascii="Times New Roman" w:cs="Times New Roman" w:eastAsia="Times New Roman" w:hAnsi="Times New Roman"/>
                <w:sz w:val="22"/>
                <w:szCs w:val="22"/>
                <w:color w:val="auto"/>
              </w:rPr>
              <w:t>Other non-current assets</w:t>
            </w:r>
            <w:r>
              <w:rPr>
                <w:rFonts w:ascii="Times New Roman" w:cs="Times New Roman" w:eastAsia="Times New Roman" w:hAnsi="Times New Roman"/>
                <w:sz w:val="35"/>
                <w:szCs w:val="35"/>
                <w:color w:val="auto"/>
                <w:vertAlign w:val="superscript"/>
              </w:rPr>
              <w:t>(ii)</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3,217,379</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2,911,231</w:t>
            </w:r>
          </w:p>
        </w:tc>
        <w:tc>
          <w:tcPr>
            <w:tcW w:w="0" w:type="dxa"/>
            <w:vAlign w:val="bottom"/>
          </w:tcPr>
          <w:p>
            <w:pPr>
              <w:spacing w:after="0"/>
              <w:rPr>
                <w:sz w:val="1"/>
                <w:szCs w:val="1"/>
                <w:color w:val="auto"/>
              </w:rPr>
            </w:pPr>
          </w:p>
        </w:tc>
      </w:tr>
      <w:tr>
        <w:trPr>
          <w:trHeight w:val="270"/>
        </w:trPr>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non-current assets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1,532,759,394</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188,123,763</w:t>
            </w: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2,406,952,500</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1,210,085,652</w:t>
            </w: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Liabilities and shareholders’ equity</w:t>
            </w:r>
          </w:p>
        </w:tc>
        <w:tc>
          <w:tcPr>
            <w:tcW w:w="28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28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Amounts due to related parties</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5,376,563</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3,378,453</w:t>
            </w:r>
          </w:p>
        </w:tc>
        <w:tc>
          <w:tcPr>
            <w:tcW w:w="0" w:type="dxa"/>
            <w:vAlign w:val="bottom"/>
          </w:tcPr>
          <w:p>
            <w:pPr>
              <w:spacing w:after="0"/>
              <w:rPr>
                <w:sz w:val="1"/>
                <w:szCs w:val="1"/>
                <w:color w:val="auto"/>
              </w:rPr>
            </w:pPr>
          </w:p>
        </w:tc>
      </w:tr>
      <w:tr>
        <w:trPr>
          <w:trHeight w:val="315"/>
        </w:trPr>
        <w:tc>
          <w:tcPr>
            <w:tcW w:w="65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Accrued expenses and other current liabilities</w:t>
            </w:r>
            <w:r>
              <w:rPr>
                <w:rFonts w:ascii="Times New Roman" w:cs="Times New Roman" w:eastAsia="Times New Roman" w:hAnsi="Times New Roman"/>
                <w:sz w:val="35"/>
                <w:szCs w:val="35"/>
                <w:color w:val="auto"/>
                <w:vertAlign w:val="superscript"/>
              </w:rPr>
              <w:t>(iii)</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11,663,630</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17,251,362</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 payables due to related party, 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307,535,051</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409,180,114</w:t>
            </w:r>
          </w:p>
        </w:tc>
        <w:tc>
          <w:tcPr>
            <w:tcW w:w="0" w:type="dxa"/>
            <w:vAlign w:val="bottom"/>
          </w:tcPr>
          <w:p>
            <w:pPr>
              <w:spacing w:after="0"/>
              <w:rPr>
                <w:sz w:val="1"/>
                <w:szCs w:val="1"/>
                <w:color w:val="auto"/>
              </w:rPr>
            </w:pPr>
          </w:p>
        </w:tc>
      </w:tr>
      <w:tr>
        <w:trPr>
          <w:trHeight w:val="270"/>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collateral payable to related party, 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69,985,480</w:t>
            </w:r>
          </w:p>
        </w:tc>
        <w:tc>
          <w:tcPr>
            <w:tcW w:w="0" w:type="dxa"/>
            <w:vAlign w:val="bottom"/>
          </w:tcPr>
          <w:p>
            <w:pPr>
              <w:spacing w:after="0"/>
              <w:rPr>
                <w:sz w:val="1"/>
                <w:szCs w:val="1"/>
                <w:color w:val="auto"/>
              </w:rPr>
            </w:pPr>
          </w:p>
        </w:tc>
      </w:tr>
      <w:tr>
        <w:trPr>
          <w:trHeight w:val="282"/>
        </w:trPr>
        <w:tc>
          <w:tcPr>
            <w:tcW w:w="6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collateral payable to customers, current</w:t>
            </w:r>
          </w:p>
        </w:tc>
        <w:tc>
          <w:tcPr>
            <w:tcW w:w="28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429,075,540</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398,023,291</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753,650,784</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897,818,700</w:t>
            </w:r>
          </w:p>
        </w:tc>
      </w:tr>
      <w:tr>
        <w:trPr>
          <w:trHeight w:val="274"/>
        </w:trPr>
        <w:tc>
          <w:tcPr>
            <w:tcW w:w="6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Non-current liabilities:</w:t>
            </w:r>
          </w:p>
        </w:tc>
        <w:tc>
          <w:tcPr>
            <w:tcW w:w="28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6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Loan payables due to related party, non-current</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720,782,080</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90,673,631</w:t>
            </w:r>
          </w:p>
        </w:tc>
      </w:tr>
      <w:tr>
        <w:trPr>
          <w:trHeight w:val="270"/>
        </w:trPr>
        <w:tc>
          <w:tcPr>
            <w:tcW w:w="6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collateral payable to related party, non-current</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659,615,535</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Crypto assets collateral payable to customers, non-current</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69,021,582</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8,200,149</w:t>
            </w:r>
          </w:p>
        </w:tc>
      </w:tr>
      <w:tr>
        <w:trPr>
          <w:trHeight w:val="266"/>
        </w:trPr>
        <w:tc>
          <w:tcPr>
            <w:tcW w:w="66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Operating lease liabilities, non-current</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1,562,871</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1,298,044</w:t>
            </w:r>
          </w:p>
        </w:tc>
      </w:tr>
      <w:tr>
        <w:trPr>
          <w:trHeight w:val="270"/>
        </w:trPr>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non-current liabilities</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1,450,982,068</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100,171,824</w:t>
            </w:r>
          </w:p>
        </w:tc>
      </w:tr>
      <w:tr>
        <w:trPr>
          <w:trHeight w:val="274"/>
        </w:trPr>
        <w:tc>
          <w:tcPr>
            <w:tcW w:w="6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2,204,632,852</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997,990,524</w:t>
            </w:r>
          </w:p>
        </w:tc>
      </w:tr>
      <w:tr>
        <w:trPr>
          <w:trHeight w:val="270"/>
        </w:trPr>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shareholders’ equity</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119,680,242</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123,506,723</w:t>
            </w:r>
          </w:p>
        </w:tc>
      </w:tr>
      <w:tr>
        <w:trPr>
          <w:trHeight w:val="266"/>
        </w:trPr>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Non-controlling interests</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82,639,406</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88,588,405</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equity</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202,319,648</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212,095,128</w:t>
            </w:r>
          </w:p>
        </w:tc>
      </w:tr>
      <w:tr>
        <w:trPr>
          <w:trHeight w:val="286"/>
        </w:trPr>
        <w:tc>
          <w:tcPr>
            <w:tcW w:w="6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shareholders’ equity</w:t>
            </w:r>
          </w:p>
        </w:tc>
        <w:tc>
          <w:tcPr>
            <w:tcW w:w="286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2,406,952,500</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1,210,085,652</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hanging="439"/>
        <w:spacing w:after="0"/>
        <w:tabs>
          <w:tab w:leader="none" w:pos="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Goodwill resulted from the acquisition of Aurelion on Oct 10, 2025.</w:t>
      </w:r>
    </w:p>
    <w:p>
      <w:pPr>
        <w:spacing w:after="0" w:line="29" w:lineRule="exact"/>
        <w:rPr>
          <w:rFonts w:ascii="Times New Roman" w:cs="Times New Roman" w:eastAsia="Times New Roman" w:hAnsi="Times New Roman"/>
          <w:sz w:val="22"/>
          <w:szCs w:val="22"/>
          <w:color w:val="auto"/>
        </w:rPr>
      </w:pPr>
    </w:p>
    <w:p>
      <w:pPr>
        <w:ind w:left="440" w:hanging="439"/>
        <w:spacing w:after="0"/>
        <w:tabs>
          <w:tab w:leader="none" w:pos="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non-current assets include deferred offering costs, property and equipment, right-of-use assets and intangible assets.</w:t>
      </w:r>
    </w:p>
    <w:p>
      <w:pPr>
        <w:spacing w:after="0" w:line="17" w:lineRule="exact"/>
        <w:rPr>
          <w:rFonts w:ascii="Times New Roman" w:cs="Times New Roman" w:eastAsia="Times New Roman" w:hAnsi="Times New Roman"/>
          <w:sz w:val="22"/>
          <w:szCs w:val="22"/>
          <w:color w:val="auto"/>
        </w:rPr>
      </w:pPr>
    </w:p>
    <w:p>
      <w:pPr>
        <w:ind w:left="440" w:right="420" w:hanging="439"/>
        <w:spacing w:after="0" w:line="246" w:lineRule="auto"/>
        <w:tabs>
          <w:tab w:leader="none" w:pos="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expenses and other current liabilities include accrued liabilities, other payables and the current portion of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Antalpha Platform Holding Company Condensed Combined and Consolidated Statements of Income </w:t>
      </w:r>
      <w:r>
        <w:rPr>
          <w:rFonts w:ascii="Times New Roman" w:cs="Times New Roman" w:eastAsia="Times New Roman" w:hAnsi="Times New Roman"/>
          <w:sz w:val="22"/>
          <w:szCs w:val="22"/>
          <w:color w:val="auto"/>
        </w:rPr>
        <w:t>(in USD, except for shares data,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394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3"/>
                <w:szCs w:val="23"/>
                <w:color w:val="auto"/>
              </w:rPr>
            </w:pPr>
          </w:p>
        </w:tc>
        <w:tc>
          <w:tcPr>
            <w:tcW w:w="3940" w:type="dxa"/>
            <w:vAlign w:val="bottom"/>
            <w:gridSpan w:val="2"/>
          </w:tcPr>
          <w:p>
            <w:pPr>
              <w:jc w:val="right"/>
              <w:ind w:right="1012"/>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0" w:type="dxa"/>
            <w:vAlign w:val="bottom"/>
          </w:tcPr>
          <w:p>
            <w:pPr>
              <w:spacing w:after="0"/>
              <w:rPr>
                <w:sz w:val="1"/>
                <w:szCs w:val="1"/>
                <w:color w:val="auto"/>
              </w:rPr>
            </w:pPr>
          </w:p>
        </w:tc>
      </w:tr>
      <w:tr>
        <w:trPr>
          <w:trHeight w:val="286"/>
        </w:trPr>
        <w:tc>
          <w:tcPr>
            <w:tcW w:w="7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2480" w:type="dxa"/>
            <w:vAlign w:val="bottom"/>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0" w:type="dxa"/>
            <w:vAlign w:val="bottom"/>
          </w:tcPr>
          <w:p>
            <w:pPr>
              <w:spacing w:after="0"/>
              <w:rPr>
                <w:sz w:val="1"/>
                <w:szCs w:val="1"/>
                <w:color w:val="auto"/>
              </w:rPr>
            </w:pPr>
          </w:p>
        </w:tc>
      </w:tr>
      <w:tr>
        <w:trPr>
          <w:trHeight w:val="258"/>
        </w:trPr>
        <w:tc>
          <w:tcPr>
            <w:tcW w:w="7260" w:type="dxa"/>
            <w:vAlign w:val="bottom"/>
            <w:vMerge w:val="continue"/>
          </w:tcPr>
          <w:p>
            <w:pPr>
              <w:spacing w:after="0"/>
              <w:rPr>
                <w:sz w:val="22"/>
                <w:szCs w:val="22"/>
                <w:color w:val="auto"/>
              </w:rPr>
            </w:pPr>
          </w:p>
        </w:tc>
        <w:tc>
          <w:tcPr>
            <w:tcW w:w="2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Technology financing fee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10,080,373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15,016,781</w:t>
            </w:r>
          </w:p>
        </w:tc>
        <w:tc>
          <w:tcPr>
            <w:tcW w:w="0" w:type="dxa"/>
            <w:vAlign w:val="bottom"/>
          </w:tcPr>
          <w:p>
            <w:pPr>
              <w:spacing w:after="0"/>
              <w:rPr>
                <w:sz w:val="1"/>
                <w:szCs w:val="1"/>
                <w:color w:val="auto"/>
              </w:rPr>
            </w:pPr>
          </w:p>
        </w:tc>
      </w:tr>
      <w:tr>
        <w:trPr>
          <w:trHeight w:val="270"/>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Technology platform fee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3,516,114</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5,706,657</w:t>
            </w:r>
          </w:p>
        </w:tc>
        <w:tc>
          <w:tcPr>
            <w:tcW w:w="0" w:type="dxa"/>
            <w:vAlign w:val="bottom"/>
          </w:tcPr>
          <w:p>
            <w:pPr>
              <w:spacing w:after="0"/>
              <w:rPr>
                <w:sz w:val="1"/>
                <w:szCs w:val="1"/>
                <w:color w:val="auto"/>
              </w:rPr>
            </w:pPr>
          </w:p>
        </w:tc>
      </w:tr>
      <w:tr>
        <w:trPr>
          <w:trHeight w:val="266"/>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Others</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revenue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13,596,487</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20,723,684</w:t>
            </w:r>
          </w:p>
        </w:tc>
        <w:tc>
          <w:tcPr>
            <w:tcW w:w="0" w:type="dxa"/>
            <w:vAlign w:val="bottom"/>
          </w:tcPr>
          <w:p>
            <w:pPr>
              <w:spacing w:after="0"/>
              <w:rPr>
                <w:sz w:val="1"/>
                <w:szCs w:val="1"/>
                <w:color w:val="auto"/>
              </w:rPr>
            </w:pPr>
          </w:p>
        </w:tc>
      </w:tr>
      <w:tr>
        <w:trPr>
          <w:trHeight w:val="27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expenses</w:t>
            </w:r>
          </w:p>
        </w:tc>
        <w:tc>
          <w:tcPr>
            <w:tcW w:w="2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Funding cost</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6,566,046</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10,431,172</w:t>
            </w:r>
          </w:p>
        </w:tc>
        <w:tc>
          <w:tcPr>
            <w:tcW w:w="0" w:type="dxa"/>
            <w:vAlign w:val="bottom"/>
          </w:tcPr>
          <w:p>
            <w:pPr>
              <w:spacing w:after="0"/>
              <w:rPr>
                <w:sz w:val="1"/>
                <w:szCs w:val="1"/>
                <w:color w:val="auto"/>
              </w:rPr>
            </w:pPr>
          </w:p>
        </w:tc>
      </w:tr>
      <w:tr>
        <w:trPr>
          <w:trHeight w:val="270"/>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Technology and development</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1,285,360</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2,539,132</w:t>
            </w:r>
          </w:p>
        </w:tc>
        <w:tc>
          <w:tcPr>
            <w:tcW w:w="0" w:type="dxa"/>
            <w:vAlign w:val="bottom"/>
          </w:tcPr>
          <w:p>
            <w:pPr>
              <w:spacing w:after="0"/>
              <w:rPr>
                <w:sz w:val="1"/>
                <w:szCs w:val="1"/>
                <w:color w:val="auto"/>
              </w:rPr>
            </w:pPr>
          </w:p>
        </w:tc>
      </w:tr>
      <w:tr>
        <w:trPr>
          <w:trHeight w:val="270"/>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and marketing</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972,816</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4,592,137</w:t>
            </w:r>
          </w:p>
        </w:tc>
        <w:tc>
          <w:tcPr>
            <w:tcW w:w="0" w:type="dxa"/>
            <w:vAlign w:val="bottom"/>
          </w:tcPr>
          <w:p>
            <w:pPr>
              <w:spacing w:after="0"/>
              <w:rPr>
                <w:sz w:val="1"/>
                <w:szCs w:val="1"/>
                <w:color w:val="auto"/>
              </w:rPr>
            </w:pPr>
          </w:p>
        </w:tc>
      </w:tr>
      <w:tr>
        <w:trPr>
          <w:trHeight w:val="279"/>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3,145,642</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7,280,086</w:t>
            </w:r>
          </w:p>
        </w:tc>
        <w:tc>
          <w:tcPr>
            <w:tcW w:w="0" w:type="dxa"/>
            <w:vAlign w:val="bottom"/>
          </w:tcPr>
          <w:p>
            <w:pPr>
              <w:spacing w:after="0"/>
              <w:rPr>
                <w:sz w:val="1"/>
                <w:szCs w:val="1"/>
                <w:color w:val="auto"/>
              </w:rPr>
            </w:pPr>
          </w:p>
        </w:tc>
      </w:tr>
      <w:tr>
        <w:trPr>
          <w:trHeight w:val="315"/>
        </w:trPr>
        <w:tc>
          <w:tcPr>
            <w:tcW w:w="7260" w:type="dxa"/>
            <w:vAlign w:val="bottom"/>
          </w:tcPr>
          <w:p>
            <w:pPr>
              <w:ind w:left="120"/>
              <w:spacing w:after="0" w:line="314" w:lineRule="exact"/>
              <w:rPr>
                <w:sz w:val="20"/>
                <w:szCs w:val="20"/>
                <w:color w:val="auto"/>
              </w:rPr>
            </w:pPr>
            <w:r>
              <w:rPr>
                <w:rFonts w:ascii="Times New Roman" w:cs="Times New Roman" w:eastAsia="Times New Roman" w:hAnsi="Times New Roman"/>
                <w:sz w:val="22"/>
                <w:szCs w:val="22"/>
                <w:color w:val="auto"/>
              </w:rPr>
              <w:t>Unrealized gain on crypto assets</w:t>
            </w:r>
            <w:r>
              <w:rPr>
                <w:rFonts w:ascii="Times New Roman" w:cs="Times New Roman" w:eastAsia="Times New Roman" w:hAnsi="Times New Roman"/>
                <w:sz w:val="35"/>
                <w:szCs w:val="35"/>
                <w:color w:val="auto"/>
                <w:vertAlign w:val="superscript"/>
              </w:rPr>
              <w:t>(1)</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(10,937,197)</w:t>
            </w:r>
          </w:p>
        </w:tc>
        <w:tc>
          <w:tcPr>
            <w:tcW w:w="0" w:type="dxa"/>
            <w:vAlign w:val="bottom"/>
          </w:tcPr>
          <w:p>
            <w:pPr>
              <w:spacing w:after="0"/>
              <w:rPr>
                <w:sz w:val="1"/>
                <w:szCs w:val="1"/>
                <w:color w:val="auto"/>
              </w:rPr>
            </w:pPr>
          </w:p>
        </w:tc>
      </w:tr>
      <w:tr>
        <w:trPr>
          <w:trHeight w:val="266"/>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cost</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448,910</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187,159</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operating expenses</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12,418,774</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14,092,489</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1,177,713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6,631,195</w:t>
            </w:r>
          </w:p>
        </w:tc>
        <w:tc>
          <w:tcPr>
            <w:tcW w:w="0" w:type="dxa"/>
            <w:vAlign w:val="bottom"/>
          </w:tcPr>
          <w:p>
            <w:pPr>
              <w:spacing w:after="0"/>
              <w:rPr>
                <w:sz w:val="1"/>
                <w:szCs w:val="1"/>
                <w:color w:val="auto"/>
              </w:rPr>
            </w:pPr>
          </w:p>
        </w:tc>
      </w:tr>
      <w:tr>
        <w:trPr>
          <w:trHeight w:val="311"/>
        </w:trPr>
        <w:tc>
          <w:tcPr>
            <w:tcW w:w="7260" w:type="dxa"/>
            <w:vAlign w:val="bottom"/>
          </w:tcPr>
          <w:p>
            <w:pPr>
              <w:ind w:left="120"/>
              <w:spacing w:after="0" w:line="311" w:lineRule="exact"/>
              <w:rPr>
                <w:sz w:val="20"/>
                <w:szCs w:val="20"/>
                <w:color w:val="auto"/>
              </w:rPr>
            </w:pPr>
            <w:r>
              <w:rPr>
                <w:rFonts w:ascii="Times New Roman" w:cs="Times New Roman" w:eastAsia="Times New Roman" w:hAnsi="Times New Roman"/>
                <w:sz w:val="22"/>
                <w:szCs w:val="22"/>
                <w:color w:val="auto"/>
              </w:rPr>
              <w:t>Non-operating income</w:t>
            </w:r>
            <w:r>
              <w:rPr>
                <w:rFonts w:ascii="Times New Roman" w:cs="Times New Roman" w:eastAsia="Times New Roman" w:hAnsi="Times New Roman"/>
                <w:sz w:val="35"/>
                <w:szCs w:val="35"/>
                <w:color w:val="auto"/>
                <w:vertAlign w:val="superscript"/>
              </w:rPr>
              <w:t>(2)</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706,288</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1,262,267</w:t>
            </w:r>
          </w:p>
        </w:tc>
        <w:tc>
          <w:tcPr>
            <w:tcW w:w="0" w:type="dxa"/>
            <w:vAlign w:val="bottom"/>
          </w:tcPr>
          <w:p>
            <w:pPr>
              <w:spacing w:after="0"/>
              <w:rPr>
                <w:sz w:val="1"/>
                <w:szCs w:val="1"/>
                <w:color w:val="auto"/>
              </w:rPr>
            </w:pPr>
          </w:p>
        </w:tc>
      </w:tr>
      <w:tr>
        <w:trPr>
          <w:trHeight w:val="27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Income before income tax</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1,884,001</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7,893,462</w:t>
            </w:r>
          </w:p>
        </w:tc>
        <w:tc>
          <w:tcPr>
            <w:tcW w:w="0" w:type="dxa"/>
            <w:vAlign w:val="bottom"/>
          </w:tcPr>
          <w:p>
            <w:pPr>
              <w:spacing w:after="0"/>
              <w:rPr>
                <w:sz w:val="1"/>
                <w:szCs w:val="1"/>
                <w:color w:val="auto"/>
              </w:rPr>
            </w:pPr>
          </w:p>
        </w:tc>
      </w:tr>
      <w:tr>
        <w:trPr>
          <w:trHeight w:val="266"/>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Income tax expense/(benefit)</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428,148</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(218,332)</w:t>
            </w:r>
          </w:p>
        </w:tc>
        <w:tc>
          <w:tcPr>
            <w:tcW w:w="0" w:type="dxa"/>
            <w:vAlign w:val="bottom"/>
          </w:tcPr>
          <w:p>
            <w:pPr>
              <w:spacing w:after="0"/>
              <w:rPr>
                <w:sz w:val="1"/>
                <w:szCs w:val="1"/>
                <w:color w:val="auto"/>
              </w:rPr>
            </w:pPr>
          </w:p>
        </w:tc>
      </w:tr>
      <w:tr>
        <w:trPr>
          <w:trHeight w:val="27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1,455,853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8,111,794</w:t>
            </w:r>
          </w:p>
        </w:tc>
        <w:tc>
          <w:tcPr>
            <w:tcW w:w="0" w:type="dxa"/>
            <w:vAlign w:val="bottom"/>
          </w:tcPr>
          <w:p>
            <w:pPr>
              <w:spacing w:after="0"/>
              <w:rPr>
                <w:sz w:val="1"/>
                <w:szCs w:val="1"/>
                <w:color w:val="auto"/>
              </w:rPr>
            </w:pPr>
          </w:p>
        </w:tc>
      </w:tr>
      <w:tr>
        <w:trPr>
          <w:trHeight w:val="266"/>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 attributable to non-controlling interests</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5,421,619</w:t>
            </w:r>
          </w:p>
        </w:tc>
        <w:tc>
          <w:tcPr>
            <w:tcW w:w="0" w:type="dxa"/>
            <w:vAlign w:val="bottom"/>
          </w:tcPr>
          <w:p>
            <w:pPr>
              <w:spacing w:after="0"/>
              <w:rPr>
                <w:sz w:val="1"/>
                <w:szCs w:val="1"/>
                <w:color w:val="auto"/>
              </w:rPr>
            </w:pPr>
          </w:p>
        </w:tc>
      </w:tr>
      <w:tr>
        <w:trPr>
          <w:trHeight w:val="27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income attributable to Antalpha</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1,455,853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2,690,175</w:t>
            </w:r>
          </w:p>
        </w:tc>
        <w:tc>
          <w:tcPr>
            <w:tcW w:w="0" w:type="dxa"/>
            <w:vAlign w:val="bottom"/>
          </w:tcPr>
          <w:p>
            <w:pPr>
              <w:spacing w:after="0"/>
              <w:rPr>
                <w:sz w:val="1"/>
                <w:szCs w:val="1"/>
                <w:color w:val="auto"/>
              </w:rPr>
            </w:pPr>
          </w:p>
        </w:tc>
      </w:tr>
      <w:tr>
        <w:trPr>
          <w:trHeight w:val="266"/>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Foreign currency translation adjustment</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400,211</w:t>
            </w:r>
          </w:p>
        </w:tc>
        <w:tc>
          <w:tcPr>
            <w:tcW w:w="0" w:type="dxa"/>
            <w:vAlign w:val="bottom"/>
          </w:tcPr>
          <w:p>
            <w:pPr>
              <w:spacing w:after="0"/>
              <w:rPr>
                <w:sz w:val="1"/>
                <w:szCs w:val="1"/>
                <w:color w:val="auto"/>
              </w:rPr>
            </w:pPr>
          </w:p>
        </w:tc>
      </w:tr>
      <w:tr>
        <w:trPr>
          <w:trHeight w:val="274"/>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Comprehensive income</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1,455,853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8,512,005</w:t>
            </w:r>
          </w:p>
        </w:tc>
        <w:tc>
          <w:tcPr>
            <w:tcW w:w="0" w:type="dxa"/>
            <w:vAlign w:val="bottom"/>
          </w:tcPr>
          <w:p>
            <w:pPr>
              <w:spacing w:after="0"/>
              <w:rPr>
                <w:sz w:val="1"/>
                <w:szCs w:val="1"/>
                <w:color w:val="auto"/>
              </w:rPr>
            </w:pPr>
          </w:p>
        </w:tc>
      </w:tr>
      <w:tr>
        <w:trPr>
          <w:trHeight w:val="266"/>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comprehensive income attributable to non-controlling interests</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5,694,763</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comprehensive income attributable to Antalpha</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1,455,853</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2,817,242</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Weighted average number of ordinary shares</w:t>
            </w: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tcPr>
          <w:p>
            <w:pPr>
              <w:ind w:left="120"/>
              <w:spacing w:after="0" w:line="324" w:lineRule="exact"/>
              <w:rPr>
                <w:sz w:val="20"/>
                <w:szCs w:val="20"/>
                <w:color w:val="auto"/>
              </w:rPr>
            </w:pPr>
            <w:r>
              <w:rPr>
                <w:rFonts w:ascii="Times New Roman" w:cs="Times New Roman" w:eastAsia="Times New Roman" w:hAnsi="Times New Roman"/>
                <w:sz w:val="22"/>
                <w:szCs w:val="22"/>
                <w:color w:val="auto"/>
              </w:rPr>
              <w:t>Basic</w:t>
            </w:r>
            <w:r>
              <w:rPr>
                <w:rFonts w:ascii="Times New Roman" w:cs="Times New Roman" w:eastAsia="Times New Roman" w:hAnsi="Times New Roman"/>
                <w:sz w:val="35"/>
                <w:szCs w:val="35"/>
                <w:color w:val="auto"/>
                <w:vertAlign w:val="superscript"/>
              </w:rPr>
              <w:t>(3)</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19,250,000</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23,984,593</w:t>
            </w:r>
          </w:p>
        </w:tc>
        <w:tc>
          <w:tcPr>
            <w:tcW w:w="0" w:type="dxa"/>
            <w:vAlign w:val="bottom"/>
          </w:tcPr>
          <w:p>
            <w:pPr>
              <w:spacing w:after="0"/>
              <w:rPr>
                <w:sz w:val="1"/>
                <w:szCs w:val="1"/>
                <w:color w:val="auto"/>
              </w:rPr>
            </w:pPr>
          </w:p>
        </w:tc>
      </w:tr>
      <w:tr>
        <w:trPr>
          <w:trHeight w:val="311"/>
        </w:trPr>
        <w:tc>
          <w:tcPr>
            <w:tcW w:w="7260" w:type="dxa"/>
            <w:vAlign w:val="bottom"/>
          </w:tcPr>
          <w:p>
            <w:pPr>
              <w:ind w:left="120"/>
              <w:spacing w:after="0" w:line="311" w:lineRule="exact"/>
              <w:rPr>
                <w:sz w:val="20"/>
                <w:szCs w:val="20"/>
                <w:color w:val="auto"/>
              </w:rPr>
            </w:pPr>
            <w:r>
              <w:rPr>
                <w:rFonts w:ascii="Times New Roman" w:cs="Times New Roman" w:eastAsia="Times New Roman" w:hAnsi="Times New Roman"/>
                <w:sz w:val="22"/>
                <w:szCs w:val="22"/>
                <w:color w:val="auto"/>
              </w:rPr>
              <w:t>Diluted</w:t>
            </w:r>
            <w:r>
              <w:rPr>
                <w:rFonts w:ascii="Times New Roman" w:cs="Times New Roman" w:eastAsia="Times New Roman" w:hAnsi="Times New Roman"/>
                <w:sz w:val="35"/>
                <w:szCs w:val="35"/>
                <w:color w:val="auto"/>
                <w:vertAlign w:val="superscript"/>
              </w:rPr>
              <w:t>(3)</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21,826,667</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26,520,390</w:t>
            </w: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Earnings per share</w:t>
            </w: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tcPr>
          <w:p>
            <w:pPr>
              <w:ind w:left="120"/>
              <w:spacing w:after="0" w:line="324" w:lineRule="exact"/>
              <w:rPr>
                <w:sz w:val="20"/>
                <w:szCs w:val="20"/>
                <w:color w:val="auto"/>
              </w:rPr>
            </w:pPr>
            <w:r>
              <w:rPr>
                <w:rFonts w:ascii="Times New Roman" w:cs="Times New Roman" w:eastAsia="Times New Roman" w:hAnsi="Times New Roman"/>
                <w:sz w:val="22"/>
                <w:szCs w:val="22"/>
                <w:color w:val="auto"/>
              </w:rPr>
              <w:t>Basic</w:t>
            </w:r>
            <w:r>
              <w:rPr>
                <w:rFonts w:ascii="Times New Roman" w:cs="Times New Roman" w:eastAsia="Times New Roman" w:hAnsi="Times New Roman"/>
                <w:sz w:val="35"/>
                <w:szCs w:val="35"/>
                <w:color w:val="auto"/>
                <w:vertAlign w:val="superscript"/>
              </w:rPr>
              <w:t>(3)</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0.08</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w:t>
            </w:r>
          </w:p>
        </w:tc>
        <w:tc>
          <w:tcPr>
            <w:tcW w:w="0" w:type="dxa"/>
            <w:vAlign w:val="bottom"/>
          </w:tcPr>
          <w:p>
            <w:pPr>
              <w:spacing w:after="0"/>
              <w:rPr>
                <w:sz w:val="1"/>
                <w:szCs w:val="1"/>
                <w:color w:val="auto"/>
              </w:rPr>
            </w:pPr>
          </w:p>
        </w:tc>
      </w:tr>
      <w:tr>
        <w:trPr>
          <w:trHeight w:val="475"/>
        </w:trPr>
        <w:tc>
          <w:tcPr>
            <w:tcW w:w="7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r>
              <w:rPr>
                <w:rFonts w:ascii="Times New Roman" w:cs="Times New Roman" w:eastAsia="Times New Roman" w:hAnsi="Times New Roman"/>
                <w:sz w:val="35"/>
                <w:szCs w:val="35"/>
                <w:color w:val="auto"/>
                <w:vertAlign w:val="superscript"/>
              </w:rPr>
              <w:t>(3)</w:t>
            </w:r>
          </w:p>
        </w:tc>
        <w:tc>
          <w:tcPr>
            <w:tcW w:w="2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0.07</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w:t>
            </w:r>
          </w:p>
        </w:tc>
        <w:tc>
          <w:tcPr>
            <w:tcW w:w="0" w:type="dxa"/>
            <w:vAlign w:val="bottom"/>
          </w:tcPr>
          <w:p>
            <w:pPr>
              <w:spacing w:after="0"/>
              <w:rPr>
                <w:sz w:val="1"/>
                <w:szCs w:val="1"/>
                <w:color w:val="auto"/>
              </w:rPr>
            </w:pPr>
          </w:p>
        </w:tc>
      </w:tr>
    </w:tbl>
    <w:p>
      <w:pPr>
        <w:sectPr>
          <w:pgSz w:w="11900" w:h="16838" w:orient="portrait"/>
          <w:cols w:equalWidth="0" w:num="1">
            <w:col w:w="11200"/>
          </w:cols>
          <w:pgMar w:left="340" w:top="108" w:right="359" w:bottom="0" w:gutter="0" w:footer="0" w:header="0"/>
        </w:sectPr>
      </w:pPr>
    </w:p>
    <w:bookmarkStart w:id="7" w:name="page8"/>
    <w:bookmarkEnd w:id="7"/>
    <w:p>
      <w:pPr>
        <w:ind w:left="380" w:right="360" w:hanging="379"/>
        <w:spacing w:after="0" w:line="249" w:lineRule="auto"/>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unrealized fair value gains on XAUt and XAUt collateral receivables due from related party, which are managed under AURE’s core treasury strategy.</w:t>
      </w:r>
    </w:p>
    <w:p>
      <w:pPr>
        <w:ind w:left="380" w:right="400" w:hanging="379"/>
        <w:spacing w:after="0" w:line="243" w:lineRule="auto"/>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Non-operating income includes other income and fair value changes on crypto assets and liabilities, including unrealized gain on Antalpha Prime’s XAUt assets of $2.0 million for three months ended March 31, 2026.</w:t>
      </w:r>
    </w:p>
    <w:p>
      <w:pPr>
        <w:ind w:left="380" w:hanging="379"/>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Assumes retroactive effect to the reverse stock split effected on Apr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Selected Information</w:t>
      </w:r>
    </w:p>
    <w:p>
      <w:pPr>
        <w:jc w:val="center"/>
        <w:ind w:right="20"/>
        <w:spacing w:after="0"/>
        <w:rPr>
          <w:sz w:val="20"/>
          <w:szCs w:val="20"/>
          <w:color w:val="auto"/>
        </w:rPr>
      </w:pPr>
      <w:r>
        <w:rPr>
          <w:rFonts w:ascii="Times New Roman" w:cs="Times New Roman" w:eastAsia="Times New Roman" w:hAnsi="Times New Roman"/>
          <w:sz w:val="22"/>
          <w:szCs w:val="22"/>
          <w:color w:val="auto"/>
        </w:rPr>
        <w:t>(in USD,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Three months ended March 31,</w:t>
            </w:r>
          </w:p>
        </w:tc>
        <w:tc>
          <w:tcPr>
            <w:tcW w:w="1420" w:type="dxa"/>
            <w:vAlign w:val="bottom"/>
            <w:tcBorders>
              <w:bottom w:val="single" w:sz="8" w:color="auto"/>
            </w:tcBorders>
          </w:tcPr>
          <w:p>
            <w:pPr>
              <w:spacing w:after="0"/>
              <w:rPr>
                <w:sz w:val="24"/>
                <w:szCs w:val="24"/>
                <w:color w:val="auto"/>
              </w:rPr>
            </w:pPr>
          </w:p>
        </w:tc>
      </w:tr>
      <w:tr>
        <w:trPr>
          <w:trHeight w:val="318"/>
        </w:trPr>
        <w:tc>
          <w:tcPr>
            <w:tcW w:w="5080" w:type="dxa"/>
            <w:vAlign w:val="bottom"/>
          </w:tcPr>
          <w:p>
            <w:pPr>
              <w:spacing w:after="0"/>
              <w:rPr>
                <w:sz w:val="24"/>
                <w:szCs w:val="24"/>
                <w:color w:val="auto"/>
              </w:rPr>
            </w:pPr>
          </w:p>
        </w:tc>
        <w:tc>
          <w:tcPr>
            <w:tcW w:w="15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12"/>
              <w:spacing w:after="0" w:line="317" w:lineRule="exact"/>
              <w:rPr>
                <w:sz w:val="20"/>
                <w:szCs w:val="20"/>
                <w:color w:val="auto"/>
              </w:rPr>
            </w:pPr>
            <w:r>
              <w:rPr>
                <w:rFonts w:ascii="Times New Roman" w:cs="Times New Roman" w:eastAsia="Times New Roman" w:hAnsi="Times New Roman"/>
                <w:sz w:val="22"/>
                <w:szCs w:val="22"/>
                <w:b w:val="1"/>
                <w:bCs w:val="1"/>
                <w:color w:val="auto"/>
              </w:rPr>
              <w:t>2026</w:t>
            </w:r>
            <w:r>
              <w:rPr>
                <w:rFonts w:ascii="Times New Roman" w:cs="Times New Roman" w:eastAsia="Times New Roman" w:hAnsi="Times New Roman"/>
                <w:sz w:val="35"/>
                <w:szCs w:val="35"/>
                <w:b w:val="1"/>
                <w:bCs w:val="1"/>
                <w:color w:val="auto"/>
                <w:vertAlign w:val="superscript"/>
              </w:rPr>
              <w:t>(1)</w:t>
            </w:r>
          </w:p>
        </w:tc>
        <w:tc>
          <w:tcPr>
            <w:tcW w:w="1420" w:type="dxa"/>
            <w:vAlign w:val="bottom"/>
            <w:tcBorders>
              <w:bottom w:val="single" w:sz="8" w:color="auto"/>
            </w:tcBorders>
          </w:tcPr>
          <w:p>
            <w:pPr>
              <w:spacing w:after="0"/>
              <w:rPr>
                <w:sz w:val="24"/>
                <w:szCs w:val="24"/>
                <w:color w:val="auto"/>
              </w:rPr>
            </w:pPr>
          </w:p>
        </w:tc>
      </w:tr>
      <w:tr>
        <w:trPr>
          <w:trHeight w:val="246"/>
        </w:trPr>
        <w:tc>
          <w:tcPr>
            <w:tcW w:w="5080" w:type="dxa"/>
            <w:vAlign w:val="bottom"/>
          </w:tcPr>
          <w:p>
            <w:pPr>
              <w:spacing w:after="0"/>
              <w:rPr>
                <w:sz w:val="21"/>
                <w:szCs w:val="21"/>
                <w:color w:val="auto"/>
              </w:rPr>
            </w:pPr>
          </w:p>
        </w:tc>
        <w:tc>
          <w:tcPr>
            <w:tcW w:w="1520" w:type="dxa"/>
            <w:vAlign w:val="bottom"/>
          </w:tcPr>
          <w:p>
            <w:pPr>
              <w:jc w:val="right"/>
              <w:ind w:right="312"/>
              <w:spacing w:after="0" w:line="245" w:lineRule="exact"/>
              <w:rPr>
                <w:sz w:val="20"/>
                <w:szCs w:val="20"/>
                <w:color w:val="auto"/>
              </w:rPr>
            </w:pPr>
            <w:r>
              <w:rPr>
                <w:rFonts w:ascii="Times New Roman" w:cs="Times New Roman" w:eastAsia="Times New Roman" w:hAnsi="Times New Roman"/>
                <w:sz w:val="22"/>
                <w:szCs w:val="22"/>
                <w:b w:val="1"/>
                <w:bCs w:val="1"/>
                <w:color w:val="auto"/>
              </w:rPr>
              <w:t>Antalpha</w:t>
            </w:r>
          </w:p>
        </w:tc>
        <w:tc>
          <w:tcPr>
            <w:tcW w:w="120" w:type="dxa"/>
            <w:vAlign w:val="bottom"/>
          </w:tcPr>
          <w:p>
            <w:pPr>
              <w:spacing w:after="0"/>
              <w:rPr>
                <w:sz w:val="21"/>
                <w:szCs w:val="21"/>
                <w:color w:val="auto"/>
              </w:rPr>
            </w:pPr>
          </w:p>
        </w:tc>
        <w:tc>
          <w:tcPr>
            <w:tcW w:w="1660" w:type="dxa"/>
            <w:vAlign w:val="bottom"/>
          </w:tcPr>
          <w:p>
            <w:pPr>
              <w:jc w:val="right"/>
              <w:ind w:right="332"/>
              <w:spacing w:after="0" w:line="245" w:lineRule="exact"/>
              <w:rPr>
                <w:sz w:val="20"/>
                <w:szCs w:val="20"/>
                <w:color w:val="auto"/>
              </w:rPr>
            </w:pPr>
            <w:r>
              <w:rPr>
                <w:rFonts w:ascii="Times New Roman" w:cs="Times New Roman" w:eastAsia="Times New Roman" w:hAnsi="Times New Roman"/>
                <w:sz w:val="22"/>
                <w:szCs w:val="22"/>
                <w:b w:val="1"/>
                <w:bCs w:val="1"/>
                <w:color w:val="auto"/>
              </w:rPr>
              <w:t>AA Prime</w:t>
            </w:r>
          </w:p>
        </w:tc>
        <w:tc>
          <w:tcPr>
            <w:tcW w:w="1420" w:type="dxa"/>
            <w:vAlign w:val="bottom"/>
          </w:tcPr>
          <w:p>
            <w:pPr>
              <w:jc w:val="right"/>
              <w:ind w:right="432"/>
              <w:spacing w:after="0" w:line="245" w:lineRule="exact"/>
              <w:rPr>
                <w:sz w:val="20"/>
                <w:szCs w:val="20"/>
                <w:color w:val="auto"/>
              </w:rPr>
            </w:pPr>
            <w:r>
              <w:rPr>
                <w:rFonts w:ascii="Times New Roman" w:cs="Times New Roman" w:eastAsia="Times New Roman" w:hAnsi="Times New Roman"/>
                <w:sz w:val="22"/>
                <w:szCs w:val="22"/>
                <w:b w:val="1"/>
                <w:bCs w:val="1"/>
                <w:color w:val="auto"/>
              </w:rPr>
              <w:t>AURE</w:t>
            </w:r>
          </w:p>
        </w:tc>
        <w:tc>
          <w:tcPr>
            <w:tcW w:w="1420" w:type="dxa"/>
            <w:vAlign w:val="bottom"/>
          </w:tcPr>
          <w:p>
            <w:pPr>
              <w:jc w:val="right"/>
              <w:ind w:right="172"/>
              <w:spacing w:after="0" w:line="245" w:lineRule="exact"/>
              <w:rPr>
                <w:sz w:val="20"/>
                <w:szCs w:val="20"/>
                <w:color w:val="auto"/>
              </w:rPr>
            </w:pPr>
            <w:r>
              <w:rPr>
                <w:rFonts w:ascii="Times New Roman" w:cs="Times New Roman" w:eastAsia="Times New Roman" w:hAnsi="Times New Roman"/>
                <w:sz w:val="22"/>
                <w:szCs w:val="22"/>
                <w:b w:val="1"/>
                <w:bCs w:val="1"/>
                <w:color w:val="auto"/>
              </w:rPr>
              <w:t>AA Group</w:t>
            </w:r>
          </w:p>
        </w:tc>
      </w:tr>
      <w:tr>
        <w:trPr>
          <w:trHeight w:val="270"/>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revenue</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13,596,487</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20,723,684</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20,723,684</w:t>
            </w:r>
          </w:p>
        </w:tc>
      </w:tr>
      <w:tr>
        <w:trPr>
          <w:trHeight w:val="286"/>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i w:val="1"/>
                <w:iCs w:val="1"/>
                <w:color w:val="auto"/>
              </w:rPr>
              <w:t>YOY</w:t>
            </w:r>
          </w:p>
        </w:tc>
        <w:tc>
          <w:tcPr>
            <w:tcW w:w="1520" w:type="dxa"/>
            <w:vAlign w:val="bottom"/>
          </w:tcPr>
          <w:p>
            <w:pPr>
              <w:spacing w:after="0"/>
              <w:rPr>
                <w:sz w:val="24"/>
                <w:szCs w:val="24"/>
                <w:color w:val="auto"/>
              </w:rPr>
            </w:pPr>
          </w:p>
        </w:tc>
        <w:tc>
          <w:tcPr>
            <w:tcW w:w="17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52%</w:t>
            </w:r>
          </w:p>
        </w:tc>
        <w:tc>
          <w:tcPr>
            <w:tcW w:w="1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528"/>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Funding cost</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6,566,046</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10,431,172</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10,431,172</w:t>
            </w:r>
          </w:p>
        </w:tc>
      </w:tr>
      <w:tr>
        <w:trPr>
          <w:trHeight w:val="270"/>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 and development</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1,285,360</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2,539,132</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2,539,132</w:t>
            </w:r>
          </w:p>
        </w:tc>
      </w:tr>
      <w:tr>
        <w:trPr>
          <w:trHeight w:val="270"/>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marketing</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972,816</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4,492,341</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99,796</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4,592,137</w:t>
            </w:r>
          </w:p>
        </w:tc>
      </w:tr>
      <w:tr>
        <w:trPr>
          <w:trHeight w:val="270"/>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3,145,642</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5,377,267</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1,902,819</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7,280,086</w:t>
            </w:r>
          </w:p>
        </w:tc>
      </w:tr>
      <w:tr>
        <w:trPr>
          <w:trHeight w:val="270"/>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Unrealized gain on crypto assets</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6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(10,937,197)</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(10,937,197)</w:t>
            </w:r>
          </w:p>
        </w:tc>
      </w:tr>
      <w:tr>
        <w:trPr>
          <w:trHeight w:val="282"/>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cost</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448,910</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187,159</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187,159</w:t>
            </w:r>
          </w:p>
        </w:tc>
      </w:tr>
      <w:tr>
        <w:trPr>
          <w:trHeight w:val="524"/>
        </w:trPr>
        <w:tc>
          <w:tcPr>
            <w:tcW w:w="5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operating expenses</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12,418,774</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23,027,071</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(8,934,582)</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14,092,489</w:t>
            </w:r>
          </w:p>
        </w:tc>
      </w:tr>
      <w:tr>
        <w:trPr>
          <w:trHeight w:val="286"/>
        </w:trPr>
        <w:tc>
          <w:tcPr>
            <w:tcW w:w="5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1,177,713</w:t>
            </w:r>
          </w:p>
        </w:tc>
        <w:tc>
          <w:tcPr>
            <w:tcW w:w="178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(2,303,387)</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8,934,582</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6,631,195</w:t>
            </w:r>
          </w:p>
        </w:tc>
      </w:tr>
      <w:tr>
        <w:trPr>
          <w:trHeight w:val="540"/>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income (non-GAAP)</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1,541,796</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1,898,434</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9,307,091</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11,205,525</w:t>
            </w:r>
          </w:p>
        </w:tc>
      </w:tr>
      <w:tr>
        <w:trPr>
          <w:trHeight w:val="540"/>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income attributable to Antalpha</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1,455,853</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168,030</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2,522,145</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2,690,175</w:t>
            </w:r>
          </w:p>
        </w:tc>
      </w:tr>
      <w:tr>
        <w:trPr>
          <w:trHeight w:val="524"/>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2,490,230</w:t>
            </w:r>
          </w:p>
        </w:tc>
        <w:tc>
          <w:tcPr>
            <w:tcW w:w="178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4,401,632</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8,919,449</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13,321,081</w:t>
            </w:r>
          </w:p>
        </w:tc>
      </w:tr>
      <w:tr>
        <w:trPr>
          <w:trHeight w:val="286"/>
        </w:trPr>
        <w:tc>
          <w:tcPr>
            <w:tcW w:w="5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Adjusted EBITDA margin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17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21%</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right="260" w:hanging="359"/>
        <w:spacing w:after="0" w:line="244" w:lineRule="auto"/>
        <w:tabs>
          <w:tab w:leader="none" w:pos="3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Antalpha anchored a $100 million PIPE and took control of Aurelion (NASDAQ: AURE) on Oct. 10, 2025. As of Mar 31, 2026, Antalpha holds 73% in voting interest and 32% in equity interest of Aurelion. Antalpha (AA) Prime is Antalpha’s lending business, equivalent to Antalpha prior to the acquisition of Aurelion.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 to the Nearest Comparable GAAP Measures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(in USD,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8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8"/>
              </w:rPr>
              <w:t>Three months ended March 31,</w:t>
            </w:r>
          </w:p>
        </w:tc>
        <w:tc>
          <w:tcPr>
            <w:tcW w:w="1500" w:type="dxa"/>
            <w:vAlign w:val="bottom"/>
            <w:tcBorders>
              <w:bottom w:val="single" w:sz="8" w:color="auto"/>
            </w:tcBorders>
          </w:tcPr>
          <w:p>
            <w:pPr>
              <w:spacing w:after="0"/>
              <w:rPr>
                <w:sz w:val="24"/>
                <w:szCs w:val="24"/>
                <w:color w:val="auto"/>
              </w:rPr>
            </w:pPr>
          </w:p>
        </w:tc>
      </w:tr>
      <w:tr>
        <w:trPr>
          <w:trHeight w:val="318"/>
        </w:trPr>
        <w:tc>
          <w:tcPr>
            <w:tcW w:w="4840" w:type="dxa"/>
            <w:vAlign w:val="bottom"/>
          </w:tcPr>
          <w:p>
            <w:pPr>
              <w:spacing w:after="0"/>
              <w:rPr>
                <w:sz w:val="24"/>
                <w:szCs w:val="24"/>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2"/>
              <w:spacing w:after="0" w:line="317" w:lineRule="exact"/>
              <w:rPr>
                <w:sz w:val="20"/>
                <w:szCs w:val="20"/>
                <w:color w:val="auto"/>
              </w:rPr>
            </w:pPr>
            <w:r>
              <w:rPr>
                <w:rFonts w:ascii="Times New Roman" w:cs="Times New Roman" w:eastAsia="Times New Roman" w:hAnsi="Times New Roman"/>
                <w:sz w:val="22"/>
                <w:szCs w:val="22"/>
                <w:b w:val="1"/>
                <w:bCs w:val="1"/>
                <w:color w:val="auto"/>
              </w:rPr>
              <w:t>2026</w:t>
            </w:r>
            <w:r>
              <w:rPr>
                <w:rFonts w:ascii="Times New Roman" w:cs="Times New Roman" w:eastAsia="Times New Roman" w:hAnsi="Times New Roman"/>
                <w:sz w:val="35"/>
                <w:szCs w:val="35"/>
                <w:b w:val="1"/>
                <w:bCs w:val="1"/>
                <w:color w:val="auto"/>
                <w:vertAlign w:val="superscript"/>
              </w:rPr>
              <w:t>(1)</w:t>
            </w:r>
          </w:p>
        </w:tc>
        <w:tc>
          <w:tcPr>
            <w:tcW w:w="1500" w:type="dxa"/>
            <w:vAlign w:val="bottom"/>
            <w:tcBorders>
              <w:bottom w:val="single" w:sz="8" w:color="auto"/>
            </w:tcBorders>
          </w:tcPr>
          <w:p>
            <w:pPr>
              <w:spacing w:after="0"/>
              <w:rPr>
                <w:sz w:val="24"/>
                <w:szCs w:val="24"/>
                <w:color w:val="auto"/>
              </w:rPr>
            </w:pPr>
          </w:p>
        </w:tc>
      </w:tr>
      <w:tr>
        <w:trPr>
          <w:trHeight w:val="246"/>
        </w:trPr>
        <w:tc>
          <w:tcPr>
            <w:tcW w:w="4840" w:type="dxa"/>
            <w:vAlign w:val="bottom"/>
          </w:tcPr>
          <w:p>
            <w:pPr>
              <w:spacing w:after="0"/>
              <w:rPr>
                <w:sz w:val="21"/>
                <w:szCs w:val="21"/>
                <w:color w:val="auto"/>
              </w:rPr>
            </w:pPr>
          </w:p>
        </w:tc>
        <w:tc>
          <w:tcPr>
            <w:tcW w:w="1580" w:type="dxa"/>
            <w:vAlign w:val="bottom"/>
          </w:tcPr>
          <w:p>
            <w:pPr>
              <w:jc w:val="right"/>
              <w:ind w:right="252"/>
              <w:spacing w:after="0" w:line="245" w:lineRule="exact"/>
              <w:rPr>
                <w:sz w:val="20"/>
                <w:szCs w:val="20"/>
                <w:color w:val="auto"/>
              </w:rPr>
            </w:pPr>
            <w:r>
              <w:rPr>
                <w:rFonts w:ascii="Times New Roman" w:cs="Times New Roman" w:eastAsia="Times New Roman" w:hAnsi="Times New Roman"/>
                <w:sz w:val="22"/>
                <w:szCs w:val="22"/>
                <w:b w:val="1"/>
                <w:bCs w:val="1"/>
                <w:color w:val="auto"/>
              </w:rPr>
              <w:t>Antalpha</w:t>
            </w:r>
          </w:p>
        </w:tc>
        <w:tc>
          <w:tcPr>
            <w:tcW w:w="120" w:type="dxa"/>
            <w:vAlign w:val="bottom"/>
          </w:tcPr>
          <w:p>
            <w:pPr>
              <w:spacing w:after="0"/>
              <w:rPr>
                <w:sz w:val="21"/>
                <w:szCs w:val="21"/>
                <w:color w:val="auto"/>
              </w:rPr>
            </w:pPr>
          </w:p>
        </w:tc>
        <w:tc>
          <w:tcPr>
            <w:tcW w:w="1800" w:type="dxa"/>
            <w:vAlign w:val="bottom"/>
          </w:tcPr>
          <w:p>
            <w:pPr>
              <w:jc w:val="right"/>
              <w:ind w:right="432"/>
              <w:spacing w:after="0" w:line="245" w:lineRule="exact"/>
              <w:rPr>
                <w:sz w:val="20"/>
                <w:szCs w:val="20"/>
                <w:color w:val="auto"/>
              </w:rPr>
            </w:pPr>
            <w:r>
              <w:rPr>
                <w:rFonts w:ascii="Times New Roman" w:cs="Times New Roman" w:eastAsia="Times New Roman" w:hAnsi="Times New Roman"/>
                <w:sz w:val="22"/>
                <w:szCs w:val="22"/>
                <w:b w:val="1"/>
                <w:bCs w:val="1"/>
                <w:color w:val="auto"/>
              </w:rPr>
              <w:t>AA Prime</w:t>
            </w:r>
          </w:p>
        </w:tc>
        <w:tc>
          <w:tcPr>
            <w:tcW w:w="1380" w:type="dxa"/>
            <w:vAlign w:val="bottom"/>
          </w:tcPr>
          <w:p>
            <w:pPr>
              <w:jc w:val="right"/>
              <w:ind w:right="412"/>
              <w:spacing w:after="0" w:line="245" w:lineRule="exact"/>
              <w:rPr>
                <w:sz w:val="20"/>
                <w:szCs w:val="20"/>
                <w:color w:val="auto"/>
              </w:rPr>
            </w:pPr>
            <w:r>
              <w:rPr>
                <w:rFonts w:ascii="Times New Roman" w:cs="Times New Roman" w:eastAsia="Times New Roman" w:hAnsi="Times New Roman"/>
                <w:sz w:val="22"/>
                <w:szCs w:val="22"/>
                <w:b w:val="1"/>
                <w:bCs w:val="1"/>
                <w:color w:val="auto"/>
              </w:rPr>
              <w:t>AURE</w:t>
            </w:r>
          </w:p>
        </w:tc>
        <w:tc>
          <w:tcPr>
            <w:tcW w:w="1500" w:type="dxa"/>
            <w:vAlign w:val="bottom"/>
          </w:tcPr>
          <w:p>
            <w:pPr>
              <w:jc w:val="right"/>
              <w:ind w:right="172"/>
              <w:spacing w:after="0" w:line="245" w:lineRule="exact"/>
              <w:rPr>
                <w:sz w:val="20"/>
                <w:szCs w:val="20"/>
                <w:color w:val="auto"/>
              </w:rPr>
            </w:pPr>
            <w:r>
              <w:rPr>
                <w:rFonts w:ascii="Times New Roman" w:cs="Times New Roman" w:eastAsia="Times New Roman" w:hAnsi="Times New Roman"/>
                <w:sz w:val="22"/>
                <w:szCs w:val="22"/>
                <w:b w:val="1"/>
                <w:bCs w:val="1"/>
                <w:color w:val="auto"/>
              </w:rPr>
              <w:t>AA Group</w:t>
            </w:r>
          </w:p>
        </w:tc>
      </w:tr>
      <w:tr>
        <w:trPr>
          <w:trHeight w:val="286"/>
        </w:trPr>
        <w:tc>
          <w:tcPr>
            <w:tcW w:w="4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Revenue</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13,596,487</w:t>
            </w:r>
          </w:p>
        </w:tc>
        <w:tc>
          <w:tcPr>
            <w:tcW w:w="12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20,723,684</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20,723,684</w:t>
            </w:r>
          </w:p>
        </w:tc>
      </w:tr>
      <w:tr>
        <w:trPr>
          <w:trHeight w:val="528"/>
        </w:trPr>
        <w:tc>
          <w:tcPr>
            <w:tcW w:w="4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income</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1,177,713</w:t>
            </w:r>
          </w:p>
        </w:tc>
        <w:tc>
          <w:tcPr>
            <w:tcW w:w="12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(2,303,387)</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8,934,582</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6,631,195</w:t>
            </w:r>
          </w:p>
        </w:tc>
      </w:tr>
      <w:tr>
        <w:trPr>
          <w:trHeight w:val="270"/>
        </w:trPr>
        <w:tc>
          <w:tcPr>
            <w:tcW w:w="4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Share-based compensation</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364,083</w:t>
            </w:r>
          </w:p>
        </w:tc>
        <w:tc>
          <w:tcPr>
            <w:tcW w:w="120" w:type="dxa"/>
            <w:vAlign w:val="bottom"/>
          </w:tcPr>
          <w:p>
            <w:pPr>
              <w:spacing w:after="0"/>
              <w:rPr>
                <w:sz w:val="23"/>
                <w:szCs w:val="23"/>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888,773</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372,509</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1,261,282</w:t>
            </w:r>
          </w:p>
        </w:tc>
      </w:tr>
      <w:tr>
        <w:trPr>
          <w:trHeight w:val="266"/>
        </w:trPr>
        <w:tc>
          <w:tcPr>
            <w:tcW w:w="4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Severance expense</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3,313,048</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3,313,048</w:t>
            </w:r>
          </w:p>
        </w:tc>
      </w:tr>
      <w:tr>
        <w:trPr>
          <w:trHeight w:val="286"/>
        </w:trPr>
        <w:tc>
          <w:tcPr>
            <w:tcW w:w="4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income (non-GAAP)</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1,541,796</w:t>
            </w:r>
          </w:p>
        </w:tc>
        <w:tc>
          <w:tcPr>
            <w:tcW w:w="12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1,898,434</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9,307,091</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11,205,525</w:t>
            </w:r>
          </w:p>
        </w:tc>
      </w:tr>
      <w:tr>
        <w:trPr>
          <w:trHeight w:val="528"/>
        </w:trPr>
        <w:tc>
          <w:tcPr>
            <w:tcW w:w="4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1,455,853</w:t>
            </w:r>
          </w:p>
        </w:tc>
        <w:tc>
          <w:tcPr>
            <w:tcW w:w="12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168,030</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7,943,764</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8,111,794</w:t>
            </w:r>
          </w:p>
        </w:tc>
      </w:tr>
      <w:tr>
        <w:trPr>
          <w:trHeight w:val="270"/>
        </w:trPr>
        <w:tc>
          <w:tcPr>
            <w:tcW w:w="4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Share-based compensation</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364,083</w:t>
            </w:r>
          </w:p>
        </w:tc>
        <w:tc>
          <w:tcPr>
            <w:tcW w:w="120" w:type="dxa"/>
            <w:vAlign w:val="bottom"/>
          </w:tcPr>
          <w:p>
            <w:pPr>
              <w:spacing w:after="0"/>
              <w:rPr>
                <w:sz w:val="23"/>
                <w:szCs w:val="23"/>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888,773</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372,509</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1,261,282</w:t>
            </w:r>
          </w:p>
        </w:tc>
      </w:tr>
      <w:tr>
        <w:trPr>
          <w:trHeight w:val="282"/>
        </w:trPr>
        <w:tc>
          <w:tcPr>
            <w:tcW w:w="4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Income tax (benefit) / expense</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428,148</w:t>
            </w:r>
          </w:p>
        </w:tc>
        <w:tc>
          <w:tcPr>
            <w:tcW w:w="12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(218,332)</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(218,332)</w:t>
            </w:r>
          </w:p>
        </w:tc>
      </w:tr>
    </w:tbl>
    <w:p>
      <w:pPr>
        <w:sectPr>
          <w:pgSz w:w="11900" w:h="16838" w:orient="portrait"/>
          <w:cols w:equalWidth="0" w:num="1">
            <w:col w:w="11220"/>
          </w:cols>
          <w:pgMar w:left="340" w:top="58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Depreciation and amortization expense</w:t>
            </w:r>
          </w:p>
        </w:tc>
        <w:tc>
          <w:tcPr>
            <w:tcW w:w="2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242,146</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250,113</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250,113</w:t>
            </w:r>
          </w:p>
        </w:tc>
      </w:tr>
      <w:tr>
        <w:trPr>
          <w:trHeight w:val="270"/>
        </w:trPr>
        <w:tc>
          <w:tcPr>
            <w:tcW w:w="4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Interest expense</w:t>
            </w:r>
          </w:p>
        </w:tc>
        <w:tc>
          <w:tcPr>
            <w:tcW w:w="2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603,176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603,176</w:t>
            </w:r>
          </w:p>
        </w:tc>
      </w:tr>
      <w:tr>
        <w:trPr>
          <w:trHeight w:val="275"/>
        </w:trPr>
        <w:tc>
          <w:tcPr>
            <w:tcW w:w="4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 Severance expense</w:t>
            </w:r>
          </w:p>
        </w:tc>
        <w:tc>
          <w:tcPr>
            <w:tcW w:w="20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3,313,048</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3,313,048</w:t>
            </w:r>
          </w:p>
        </w:tc>
      </w:tr>
      <w:tr>
        <w:trPr>
          <w:trHeight w:val="479"/>
        </w:trPr>
        <w:tc>
          <w:tcPr>
            <w:tcW w:w="4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35"/>
                <w:szCs w:val="35"/>
                <w:b w:val="1"/>
                <w:bCs w:val="1"/>
                <w:color w:val="auto"/>
                <w:vertAlign w:val="superscript"/>
              </w:rPr>
              <w:t>(2)</w:t>
            </w:r>
          </w:p>
        </w:tc>
        <w:tc>
          <w:tcPr>
            <w:tcW w:w="202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2,490,230</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4,401,632</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8,919,449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13,321,081</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0" w:right="20" w:hanging="479"/>
        <w:spacing w:after="0" w:line="243" w:lineRule="auto"/>
        <w:tabs>
          <w:tab w:leader="none" w:pos="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Antalpha anchored a $100 million PIPE and took control of Aurelion (NASDAQ: AURE) on Oct. 10, 2025. As of Mar 31, 2026, Antalpha holds 73% in voting interest and 32% in equity interest of Aurelion. Antalpha (AA) Prime is Antalpha’s lending business, equivalent to Antalpha prior to the acquisition of Aurelion.</w:t>
      </w:r>
    </w:p>
    <w:p>
      <w:pPr>
        <w:ind w:left="480" w:right="380" w:hanging="479"/>
        <w:spacing w:after="0" w:line="246" w:lineRule="auto"/>
        <w:tabs>
          <w:tab w:leader="none" w:pos="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includes a total unrealized gain of $12.9 million on XAUt assets for three months ended March 31, 2026.</w:t>
      </w:r>
    </w:p>
    <w:sectPr>
      <w:pgSz w:w="11900" w:h="16838" w:orient="portrait"/>
      <w:cols w:equalWidth="0" w:num="1">
        <w:col w:w="11100"/>
      </w:cols>
      <w:pgMar w:left="34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2026-05-19T16:22:27Z</dcterms:created>
  <dcterms:modified xsi:type="dcterms:W3CDTF">2026-05-19T16:22:27Z</dcterms:modified>
</cp:coreProperties>
</file>