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6k_072826.htm"/>
      <w:bookmarkStart w:id="1" w:name="ksf6k_072826"/>
      <w:bookmarkEnd w:id="0"/>
      <w:bookmarkEnd w:id="1"/>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HorizontalLine"/>
        <w:pBdr>
          <w:bottom w:val="single" w:sz="6" w:space="0" w:color="808080"/>
        </w:pBdr>
        <w:bidi w:val="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HorizontalLine"/>
        <w:pBdr>
          <w:bottom w:val="single" w:sz="6" w:space="0" w:color="808080"/>
        </w:pBdr>
        <w:bidi w:val="0"/>
        <w:jc w:val="left"/>
        <w:rPr/>
      </w:pPr>
      <w:r>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 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001-42637</w:t>
      </w:r>
    </w:p>
    <w:p>
      <w:pPr>
        <w:pStyle w:val="TextBody"/>
        <w:bidi w:val="0"/>
        <w:spacing w:before="0" w:after="0"/>
        <w:jc w:val="center"/>
        <w:rPr>
          <w:caps w:val="false"/>
          <w:smallCaps w:val="false"/>
        </w:rPr>
      </w:pPr>
      <w:r>
        <w:rPr>
          <w:caps w:val="false"/>
          <w:smallCaps w:val="false"/>
        </w:rPr>
        <w:t> </w:t>
      </w:r>
    </w:p>
    <w:p>
      <w:pPr>
        <w:pStyle w:val="HorizontalLine"/>
        <w:pBdr>
          <w:bottom w:val="single" w:sz="6" w:space="0" w:color="808080"/>
        </w:pBdr>
        <w:bidi w:val="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Antalpha Platform Holding Company</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jc w:val="center"/>
        <w:rPr>
          <w:caps w:val="false"/>
          <w:smallCaps w:val="false"/>
        </w:rPr>
      </w:pPr>
      <w:r>
        <w:rPr>
          <w:caps w:val="false"/>
          <w:smallCaps w:val="false"/>
        </w:rPr>
        <w:t> </w:t>
      </w:r>
    </w:p>
    <w:p>
      <w:pPr>
        <w:pStyle w:val="HorizontalLine"/>
        <w:pBdr>
          <w:bottom w:val="single" w:sz="6" w:space="0" w:color="808080"/>
        </w:pBdr>
        <w:bidi w:val="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TEMASEK BOULEVARD, #31-02 SUNTEC TOWER 1,</w:t>
        <w:br/>
        <w:t>SINGAPORE</w:t>
        <w:br/>
        <w:t>038987</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jc w:val="center"/>
        <w:rPr>
          <w:caps w:val="false"/>
          <w:smallCaps w:val="false"/>
        </w:rPr>
      </w:pPr>
      <w:r>
        <w:rPr>
          <w:caps w:val="false"/>
          <w:smallCaps w:val="false"/>
        </w:rPr>
        <w:t> </w:t>
      </w:r>
    </w:p>
    <w:p>
      <w:pPr>
        <w:pStyle w:val="HorizontalLine"/>
        <w:pBdr>
          <w:bottom w:val="single" w:sz="6" w:space="0" w:color="808080"/>
        </w:pBdr>
        <w:bidi w:val="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120" w:after="12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 to this current report on Form 6-K is incorporated by reference into the registration statement on Form F-3 of Antalpha Platform Holding Company (File No. 333-297222) and related prospectus, and shall be a part thereof from the date on which this current report is furnished, to the extent not superseded by documents or reports subsequently filed or furnished.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sz w:val="20"/>
        </w:rPr>
      </w:pPr>
      <w:r>
        <w:rPr>
          <w:rFonts w:ascii="Times New Roman;Times;Serif" w:hAnsi="Times New Roman;Times;Serif"/>
          <w:sz w:val="20"/>
        </w:rPr>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Aurelion, Inc. (Nasdaq: Aure), a publicly traded subsidiary of Antalpha Platform Holding Company, issued a press release announcing its financial results for the quarter ended June 30, 2026, incorporated by reference as Exhibit 99.1.</w:t>
      </w:r>
    </w:p>
    <w:p>
      <w:pPr>
        <w:pStyle w:val="TextBody"/>
        <w:bidi w:val="0"/>
        <w:spacing w:before="120" w:after="12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sz w:val="20"/>
        </w:rPr>
      </w:pPr>
      <w:r>
        <w:rPr>
          <w:rFonts w:ascii="Times New Roman;Times;Serif" w:hAnsi="Times New Roman;Times;Serif"/>
          <w:sz w:val="20"/>
        </w:rPr>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28" w:type="dxa"/>
          <w:right w:w="0" w:type="dxa"/>
        </w:tblCellMar>
      </w:tblPr>
      <w:tblGrid>
        <w:gridCol w:w="1846"/>
        <w:gridCol w:w="111"/>
        <w:gridCol w:w="8248"/>
      </w:tblGrid>
      <w:tr>
        <w:trPr/>
        <w:tc>
          <w:tcPr>
            <w:tcW w:w="1846" w:type="dxa"/>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111" w:type="dxa"/>
            <w:tcBorders/>
            <w:tcMar>
              <w:bottom w:w="0" w:type="dxa"/>
            </w:tcMar>
            <w:vAlign w:val="center"/>
          </w:tcPr>
          <w:p>
            <w:pPr>
              <w:pStyle w:val="TableContents"/>
              <w:bidi w:val="0"/>
              <w:spacing w:before="0" w:after="0"/>
              <w:jc w:val="center"/>
              <w:rPr>
                <w:caps w:val="false"/>
                <w:smallCaps w:val="false"/>
              </w:rPr>
            </w:pPr>
            <w:r>
              <w:rPr>
                <w:caps w:val="false"/>
                <w:smallCaps w:val="false"/>
              </w:rPr>
              <w:t> </w:t>
            </w:r>
          </w:p>
        </w:tc>
        <w:tc>
          <w:tcPr>
            <w:tcW w:w="8248" w:type="dxa"/>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1846" w:type="dxa"/>
            <w:tcBorders/>
            <w:tcMar>
              <w:bottom w:w="0" w:type="dxa"/>
            </w:tcMar>
            <w:vAlign w:val="center"/>
          </w:tcPr>
          <w:p>
            <w:pPr>
              <w:pStyle w:val="TableContents"/>
              <w:bidi w:val="0"/>
              <w:spacing w:before="0" w:after="0"/>
              <w:jc w:val="center"/>
              <w:rPr/>
            </w:pPr>
            <w:hyperlink w:anchor="exh_991.htm">
              <w:r>
                <w:rPr>
                  <w:rStyle w:val="InternetLink"/>
                  <w:rFonts w:ascii="Times New Roman;Times;Serif" w:hAnsi="Times New Roman;Times;Serif"/>
                  <w:b w:val="false"/>
                  <w:i w:val="false"/>
                  <w:caps w:val="false"/>
                  <w:smallCaps w:val="false"/>
                  <w:sz w:val="20"/>
                </w:rPr>
                <w:t>99.1</w:t>
              </w:r>
            </w:hyperlink>
          </w:p>
        </w:tc>
        <w:tc>
          <w:tcPr>
            <w:tcW w:w="111" w:type="dxa"/>
            <w:tcBorders/>
            <w:tcMar>
              <w:bottom w:w="0" w:type="dxa"/>
            </w:tcMar>
            <w:vAlign w:val="center"/>
          </w:tcPr>
          <w:p>
            <w:pPr>
              <w:pStyle w:val="TableContents"/>
              <w:bidi w:val="0"/>
              <w:spacing w:before="0" w:after="283"/>
              <w:jc w:val="left"/>
              <w:rPr>
                <w:sz w:val="4"/>
                <w:szCs w:val="4"/>
              </w:rPr>
            </w:pPr>
            <w:r>
              <w:rPr>
                <w:sz w:val="4"/>
                <w:szCs w:val="4"/>
              </w:rPr>
            </w:r>
          </w:p>
        </w:tc>
        <w:tc>
          <w:tcPr>
            <w:tcW w:w="8248" w:type="dxa"/>
            <w:tcBorders/>
            <w:tcMar>
              <w:bottom w:w="0" w:type="dxa"/>
            </w:tcMar>
            <w:vAlign w:val="center"/>
          </w:tcPr>
          <w:p>
            <w:pPr>
              <w:pStyle w:val="TableContents"/>
              <w:bidi w:val="0"/>
              <w:spacing w:before="0" w:after="0"/>
              <w:jc w:val="left"/>
              <w:rPr/>
            </w:pPr>
            <w:hyperlink w:anchor="exh_991.htm">
              <w:r>
                <w:rPr>
                  <w:rStyle w:val="InternetLink"/>
                  <w:rFonts w:ascii="Times New Roman;Times;Serif" w:hAnsi="Times New Roman;Times;Serif"/>
                  <w:b w:val="false"/>
                  <w:i w:val="false"/>
                  <w:caps w:val="false"/>
                  <w:smallCaps w:val="false"/>
                  <w:sz w:val="20"/>
                </w:rPr>
                <w:t>Earnings Release of Aurelion Inc., dated July 27, 2026</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120" w:after="12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78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Antalpha Platform Holding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880" w:right="0" w:hanging="0"/>
        <w:jc w:val="left"/>
        <w:rPr>
          <w:caps w:val="false"/>
          <w:smallCaps w:val="false"/>
        </w:rPr>
      </w:pPr>
      <w:r>
        <w:rPr>
          <w:caps w:val="false"/>
          <w:smallCaps w:val="false"/>
        </w:rPr>
        <w:t> </w:t>
      </w:r>
    </w:p>
    <w:tbl>
      <w:tblPr>
        <w:tblW w:w="2565" w:type="dxa"/>
        <w:jc w:val="left"/>
        <w:tblInd w:w="0" w:type="dxa"/>
        <w:tblLayout w:type="fixed"/>
        <w:tblCellMar>
          <w:top w:w="0" w:type="dxa"/>
          <w:left w:w="0" w:type="dxa"/>
          <w:bottom w:w="0" w:type="dxa"/>
          <w:right w:w="0" w:type="dxa"/>
        </w:tblCellMar>
      </w:tblPr>
      <w:tblGrid>
        <w:gridCol w:w="500"/>
        <w:gridCol w:w="125"/>
        <w:gridCol w:w="1940"/>
      </w:tblGrid>
      <w:tr>
        <w:trPr/>
        <w:tc>
          <w:tcPr>
            <w:tcW w:w="50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40" w:type="dxa"/>
            <w:tcBorders/>
            <w:vAlign w:val="center"/>
          </w:tcPr>
          <w:p>
            <w:pPr>
              <w:pStyle w:val="TableContents"/>
              <w:pBdr>
                <w:bottom w:val="single" w:sz="4" w:space="1" w:color="000000"/>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Paul Liang </w:t>
            </w:r>
          </w:p>
        </w:tc>
      </w:tr>
      <w:tr>
        <w:trPr/>
        <w:tc>
          <w:tcPr>
            <w:tcW w:w="50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2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4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Paul Liang </w:t>
            </w:r>
          </w:p>
        </w:tc>
      </w:tr>
      <w:tr>
        <w:trPr/>
        <w:tc>
          <w:tcPr>
            <w:tcW w:w="50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2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94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Financial Officer </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28, 2026</w:t>
      </w:r>
    </w:p>
    <w:p>
      <w:pPr>
        <w:pStyle w:val="TextBody"/>
        <w:bidi w:val="0"/>
        <w:spacing w:before="0" w:after="0"/>
        <w:jc w:val="left"/>
        <w:rPr>
          <w:caps w:val="false"/>
          <w:smallCaps w:val="false"/>
        </w:rPr>
      </w:pPr>
      <w:r>
        <w:rPr>
          <w:caps w:val="false"/>
          <w:smallCaps w:val="false"/>
        </w:rPr>
        <w:t> </w:t>
      </w:r>
    </w:p>
    <w:p>
      <w:pPr>
        <w:pStyle w:val="TextBody"/>
        <w:bidi w:val="0"/>
        <w:jc w:val="right"/>
        <w:rPr/>
      </w:pPr>
      <w:bookmarkStart w:id="2" w:name="exh_991.htm"/>
      <w:bookmarkStart w:id="3" w:name="ksexh_991"/>
      <w:bookmarkEnd w:id="2"/>
      <w:bookmarkEnd w:id="3"/>
      <w:r>
        <w:rPr/>
        <w:t>Exhibit 99.1</w:t>
      </w:r>
      <w:r>
        <w:br w:type="page"/>
      </w:r>
    </w:p>
    <w:p>
      <w:pPr>
        <w:pStyle w:val="TextBody"/>
        <w:bidi w:val="0"/>
        <w:spacing w:before="0" w:after="283"/>
        <w:jc w:val="left"/>
        <w:rPr/>
      </w:pPr>
      <w:r>
        <w:rPr/>
        <w:t> </w:t>
      </w:r>
    </w:p>
    <w:p>
      <w:pPr>
        <w:pStyle w:val="TextBody"/>
        <w:bidi w:val="0"/>
        <w:spacing w:before="0" w:after="0"/>
        <w:ind w:left="0" w:right="0" w:hanging="0"/>
        <w:jc w:val="both"/>
        <w:rPr>
          <w:b/>
          <w:sz w:val="20"/>
        </w:rPr>
      </w:pPr>
      <w:r>
        <w:rPr>
          <w:b/>
          <w:sz w:val="20"/>
        </w:rPr>
        <w:t>Aurelion Reports Third Fiscal Quarter 2026 Financial Results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shd w:fill="FFFFFF" w:val="clear"/>
        </w:rPr>
        <w:t xml:space="preserve">HONG KONG, July 27, 2026 / -- Aurelion Inc. (NASDAQ: AURE) ("Aurelion" or the "Company"), a </w:t>
      </w:r>
      <w:r>
        <w:rPr>
          <w:sz w:val="20"/>
        </w:rPr>
        <w:t>digital gold infrastructure company, to</w:t>
      </w:r>
      <w:r>
        <w:rPr>
          <w:sz w:val="20"/>
          <w:shd w:fill="FFFFFF" w:val="clear"/>
        </w:rPr>
        <w:t>day announced its unaudited financial results for the quarter ended June 30, 2026</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r>
        <w:rPr>
          <w:sz w:val="20"/>
        </w:rPr>
        <w:t>We're transforming Aurelion into the risk-control and technology layer for on-chain gold — a transition we believe positions Aurelion for durable, recurring, technology-driven revenue,” said Frank Zheng, Chief Executive Officer. “Our focus is turning idle gold exposure into productive, institutional-grade infrastructure for the years ahead.”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Business Highlights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u w:val="single"/>
              </w:rPr>
              <w:t>Participation in XAUE:</w:t>
            </w:r>
            <w:r>
              <w:rPr/>
              <w:t xml:space="preserve"> As previously announced, Aurelion has committed 10,000 units of XAUt to XAUE, a new protocol that enables yield generation on gold holdings by allowing tokenized gold to be deployed while preserving exposure to the underlying asset. As of June 30, 2026, Aurelion completed the subscription for XAUE with 8,000 units of XAU₮.</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u w:val="single"/>
              </w:rPr>
              <w:t>NAV</w:t>
            </w:r>
            <w:r>
              <w:rPr/>
              <w:t>: Aurelion NAV as of June 30, 2026 was $91.9 million (33,318 units of XAU₮, including 8,000 principal units of XAU₮ that are staked into XAUE) and NAV per share was $2.44.</w:t>
            </w:r>
          </w:p>
        </w:tc>
      </w:tr>
    </w:tbl>
    <w:p>
      <w:pPr>
        <w:pStyle w:val="TextBody"/>
        <w:bidi w:val="0"/>
        <w:spacing w:before="0" w:after="0"/>
        <w:ind w:left="360" w:right="0" w:hanging="0"/>
        <w:jc w:val="both"/>
        <w:rPr/>
      </w:pPr>
      <w:r>
        <w:rPr/>
        <w:t> </w:t>
      </w:r>
    </w:p>
    <w:p>
      <w:pPr>
        <w:pStyle w:val="TextBody"/>
        <w:bidi w:val="0"/>
        <w:spacing w:before="0" w:after="0"/>
        <w:ind w:left="0" w:right="0" w:hanging="0"/>
        <w:jc w:val="both"/>
        <w:rPr>
          <w:sz w:val="20"/>
        </w:rPr>
      </w:pPr>
      <w:r>
        <w:rPr>
          <w:sz w:val="20"/>
          <w:shd w:fill="FFFFFF" w:val="clear"/>
        </w:rPr>
        <w:t xml:space="preserve">For the quarter ended June 30, 2026, the Company reported operating loss of </w:t>
      </w:r>
      <w:r>
        <w:rPr>
          <w:sz w:val="20"/>
        </w:rPr>
        <w:t xml:space="preserve">$24.4 million, </w:t>
      </w:r>
      <w:r>
        <w:rPr>
          <w:sz w:val="20"/>
          <w:shd w:fill="FFFFFF" w:val="clear"/>
        </w:rPr>
        <w:t>primarily driven by fair value loss on XAUt held resulting from the depreciation of gold during the quarter</w:t>
      </w:r>
      <w:r>
        <w:rPr>
          <w:sz w:val="20"/>
        </w:rPr>
        <w:t>.</w:t>
      </w:r>
    </w:p>
    <w:p>
      <w:pPr>
        <w:pStyle w:val="TextBody"/>
        <w:bidi w:val="0"/>
        <w:spacing w:before="0" w:after="0"/>
        <w:ind w:left="0" w:right="0" w:hanging="0"/>
        <w:jc w:val="both"/>
        <w:rPr/>
      </w:pPr>
      <w:r>
        <w:rPr/>
        <w:t> </w:t>
      </w:r>
    </w:p>
    <w:p>
      <w:pPr>
        <w:pStyle w:val="TextBody"/>
        <w:shd w:fill="FFFFFF" w:val="clear"/>
        <w:bidi w:val="0"/>
        <w:spacing w:before="0" w:after="0"/>
        <w:ind w:left="0" w:right="0" w:hanging="0"/>
        <w:jc w:val="both"/>
        <w:rPr>
          <w:b/>
          <w:sz w:val="20"/>
        </w:rPr>
      </w:pPr>
      <w:r>
        <w:rPr>
          <w:b/>
          <w:sz w:val="20"/>
        </w:rPr>
        <w:t>Net Asset Value (NAV) as of June 30, 2026</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sz w:val="20"/>
        </w:rPr>
        <w:t>Aurelion reports the following unaudited Net Asset Value ("NAV") based on its unaudited condensed consolidated balance sheet as of June 30, 2026:</w:t>
      </w:r>
    </w:p>
    <w:p>
      <w:pPr>
        <w:pStyle w:val="TextBody"/>
        <w:shd w:fill="FFFFFF" w:val="clear"/>
        <w:bidi w:val="0"/>
        <w:spacing w:before="0" w:after="0"/>
        <w:ind w:left="0" w:right="0" w:hanging="0"/>
        <w:jc w:val="both"/>
        <w:rPr/>
      </w:pPr>
      <w:r>
        <w:rPr/>
        <w:t> </w:t>
      </w:r>
    </w:p>
    <w:p>
      <w:pPr>
        <w:pStyle w:val="TextBody"/>
        <w:bidi w:val="0"/>
        <w:spacing w:before="0" w:after="0"/>
        <w:ind w:left="0" w:right="0" w:hanging="0"/>
        <w:jc w:val="both"/>
        <w:rPr/>
      </w:pPr>
      <w:r>
        <w:rPr/>
        <w:t> </w:t>
      </w:r>
    </w:p>
    <w:tbl>
      <w:tblPr>
        <w:tblW w:w="6353" w:type="dxa"/>
        <w:jc w:val="left"/>
        <w:tblInd w:w="0" w:type="dxa"/>
        <w:tblLayout w:type="fixed"/>
        <w:tblCellMar>
          <w:top w:w="0" w:type="dxa"/>
          <w:left w:w="0" w:type="dxa"/>
          <w:bottom w:w="28" w:type="dxa"/>
          <w:right w:w="0" w:type="dxa"/>
        </w:tblCellMar>
      </w:tblPr>
      <w:tblGrid>
        <w:gridCol w:w="5090"/>
        <w:gridCol w:w="60"/>
        <w:gridCol w:w="77"/>
        <w:gridCol w:w="900"/>
        <w:gridCol w:w="226"/>
      </w:tblGrid>
      <w:tr>
        <w:trPr/>
        <w:tc>
          <w:tcPr>
            <w:tcW w:w="5090" w:type="dxa"/>
            <w:tcBorders>
              <w:bottom w:val="single" w:sz="8" w:space="0" w:color="000000"/>
            </w:tcBorders>
            <w:vAlign w:val="center"/>
          </w:tcPr>
          <w:p>
            <w:pPr>
              <w:pStyle w:val="TableContents"/>
              <w:bidi w:val="0"/>
              <w:spacing w:before="0" w:after="283"/>
              <w:jc w:val="both"/>
              <w:rPr>
                <w:sz w:val="20"/>
              </w:rPr>
            </w:pPr>
            <w:r>
              <w:rPr>
                <w:sz w:val="20"/>
              </w:rPr>
              <w:t>(In US$1 millions, except for XAUT price and unit, unaudited)</w:t>
            </w:r>
          </w:p>
        </w:tc>
        <w:tc>
          <w:tcPr>
            <w:tcW w:w="60" w:type="dxa"/>
            <w:tcBorders/>
            <w:tcMar>
              <w:bottom w:w="0" w:type="dxa"/>
            </w:tcMar>
            <w:vAlign w:val="center"/>
          </w:tcPr>
          <w:p>
            <w:pPr>
              <w:pStyle w:val="TableContents"/>
              <w:bidi w:val="0"/>
              <w:spacing w:before="0" w:after="283"/>
              <w:jc w:val="left"/>
              <w:rPr/>
            </w:pPr>
            <w:r>
              <w:rPr/>
              <w:t> </w:t>
            </w:r>
          </w:p>
        </w:tc>
        <w:tc>
          <w:tcPr>
            <w:tcW w:w="1203" w:type="dxa"/>
            <w:gridSpan w:val="3"/>
            <w:tcBorders>
              <w:bottom w:val="single" w:sz="8" w:space="0" w:color="000000"/>
            </w:tcBorders>
            <w:vAlign w:val="center"/>
          </w:tcPr>
          <w:p>
            <w:pPr>
              <w:pStyle w:val="TableContents"/>
              <w:pBdr>
                <w:top w:val="single" w:sz="8" w:space="1" w:color="000000"/>
              </w:pBdr>
              <w:bidi w:val="0"/>
              <w:jc w:val="center"/>
              <w:rPr>
                <w:b/>
                <w:sz w:val="20"/>
              </w:rPr>
            </w:pPr>
            <w:r>
              <w:rPr>
                <w:b/>
                <w:sz w:val="20"/>
              </w:rPr>
              <w:t>As of</w:t>
            </w:r>
          </w:p>
          <w:p>
            <w:pPr>
              <w:pStyle w:val="TableContents"/>
              <w:bidi w:val="0"/>
              <w:spacing w:before="0" w:after="283"/>
              <w:ind w:left="0" w:right="0" w:hanging="0"/>
              <w:jc w:val="center"/>
              <w:rPr>
                <w:b/>
                <w:sz w:val="20"/>
              </w:rPr>
            </w:pPr>
            <w:r>
              <w:rPr>
                <w:b/>
                <w:sz w:val="20"/>
              </w:rPr>
              <w:t>June 30, 2026</w:t>
            </w:r>
          </w:p>
        </w:tc>
      </w:tr>
      <w:tr>
        <w:trPr/>
        <w:tc>
          <w:tcPr>
            <w:tcW w:w="5090" w:type="dxa"/>
            <w:tcBorders/>
            <w:shd w:fill="CCEEFF" w:val="clear"/>
            <w:tcMar>
              <w:bottom w:w="0" w:type="dxa"/>
            </w:tcMar>
            <w:vAlign w:val="center"/>
          </w:tcPr>
          <w:p>
            <w:pPr>
              <w:pStyle w:val="TableContents"/>
              <w:bidi w:val="0"/>
              <w:spacing w:before="0" w:after="283"/>
              <w:jc w:val="left"/>
              <w:rPr>
                <w:b/>
                <w:sz w:val="20"/>
              </w:rPr>
            </w:pPr>
            <w:r>
              <w:rPr>
                <w:b/>
                <w:sz w:val="20"/>
              </w:rPr>
              <w:t>Digital assets and Cash</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900" w:type="dxa"/>
            <w:tcBorders/>
            <w:shd w:fill="CCEEFF" w:val="clear"/>
            <w:tcMar>
              <w:bottom w:w="0" w:type="dxa"/>
            </w:tcMar>
            <w:vAlign w:val="center"/>
          </w:tcPr>
          <w:p>
            <w:pPr>
              <w:pStyle w:val="TableContents"/>
              <w:bidi w:val="0"/>
              <w:spacing w:before="0" w:after="283"/>
              <w:jc w:val="right"/>
              <w:rPr>
                <w:b/>
                <w:sz w:val="20"/>
              </w:rPr>
            </w:pPr>
            <w:r>
              <w:rPr>
                <w:b/>
                <w:sz w:val="20"/>
              </w:rPr>
              <w:t>134.7</w:t>
            </w:r>
          </w:p>
        </w:tc>
        <w:tc>
          <w:tcPr>
            <w:tcW w:w="226"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5090" w:type="dxa"/>
            <w:tcBorders/>
            <w:shd w:fill="FFFFFF" w:val="clear"/>
            <w:tcMar>
              <w:bottom w:w="0" w:type="dxa"/>
            </w:tcMar>
            <w:vAlign w:val="center"/>
          </w:tcPr>
          <w:p>
            <w:pPr>
              <w:pStyle w:val="TableContents"/>
              <w:bidi w:val="0"/>
              <w:spacing w:before="0" w:after="283"/>
              <w:jc w:val="left"/>
              <w:rPr>
                <w:sz w:val="20"/>
              </w:rPr>
            </w:pPr>
            <w:r>
              <w:rPr>
                <w:sz w:val="20"/>
              </w:rPr>
              <w:t>Cash &amp; Cash Equivalents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900" w:type="dxa"/>
            <w:tcBorders/>
            <w:shd w:fill="FFFFFF" w:val="clear"/>
            <w:tcMar>
              <w:bottom w:w="0" w:type="dxa"/>
            </w:tcMar>
            <w:vAlign w:val="center"/>
          </w:tcPr>
          <w:p>
            <w:pPr>
              <w:pStyle w:val="TableContents"/>
              <w:bidi w:val="0"/>
              <w:spacing w:before="0" w:after="283"/>
              <w:jc w:val="right"/>
              <w:rPr>
                <w:sz w:val="20"/>
              </w:rPr>
            </w:pPr>
            <w:r>
              <w:rPr>
                <w:sz w:val="20"/>
              </w:rPr>
              <w:t>1.6</w:t>
            </w:r>
          </w:p>
        </w:tc>
        <w:tc>
          <w:tcPr>
            <w:tcW w:w="226"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5090" w:type="dxa"/>
            <w:tcBorders/>
            <w:shd w:fill="CCEEFF" w:val="clear"/>
            <w:tcMar>
              <w:bottom w:w="0" w:type="dxa"/>
            </w:tcMar>
            <w:vAlign w:val="center"/>
          </w:tcPr>
          <w:p>
            <w:pPr>
              <w:pStyle w:val="TableContents"/>
              <w:bidi w:val="0"/>
              <w:spacing w:before="0" w:after="283"/>
              <w:jc w:val="both"/>
              <w:rPr>
                <w:sz w:val="20"/>
              </w:rPr>
            </w:pPr>
            <w:r>
              <w:rPr>
                <w:sz w:val="20"/>
              </w:rPr>
              <w:t>XAUt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900" w:type="dxa"/>
            <w:tcBorders/>
            <w:shd w:fill="CCEEFF" w:val="clear"/>
            <w:tcMar>
              <w:bottom w:w="0" w:type="dxa"/>
            </w:tcMar>
            <w:vAlign w:val="center"/>
          </w:tcPr>
          <w:p>
            <w:pPr>
              <w:pStyle w:val="TableContents"/>
              <w:bidi w:val="0"/>
              <w:spacing w:before="0" w:after="283"/>
              <w:jc w:val="right"/>
              <w:rPr>
                <w:sz w:val="20"/>
              </w:rPr>
            </w:pPr>
            <w:r>
              <w:rPr>
                <w:sz w:val="20"/>
              </w:rPr>
              <w:t>133.1</w:t>
            </w:r>
          </w:p>
        </w:tc>
        <w:tc>
          <w:tcPr>
            <w:tcW w:w="226" w:type="dxa"/>
            <w:tcBorders/>
            <w:shd w:fill="CCEEFF" w:val="clear"/>
            <w:tcMar>
              <w:bottom w:w="0" w:type="dxa"/>
            </w:tcMar>
            <w:vAlign w:val="center"/>
          </w:tcPr>
          <w:p>
            <w:pPr>
              <w:pStyle w:val="TableContents"/>
              <w:bidi w:val="0"/>
              <w:spacing w:before="0" w:after="283"/>
              <w:ind w:left="0" w:right="0" w:firstLine="100"/>
              <w:jc w:val="left"/>
              <w:rPr/>
            </w:pPr>
            <w:r>
              <w:rPr/>
              <w:t> </w:t>
            </w:r>
          </w:p>
        </w:tc>
      </w:tr>
      <w:tr>
        <w:trPr/>
        <w:tc>
          <w:tcPr>
            <w:tcW w:w="5090" w:type="dxa"/>
            <w:tcBorders/>
            <w:shd w:fill="FFFFFF" w:val="clear"/>
            <w:tcMar>
              <w:bottom w:w="0" w:type="dxa"/>
            </w:tcMar>
            <w:vAlign w:val="center"/>
          </w:tcPr>
          <w:p>
            <w:pPr>
              <w:pStyle w:val="TableContents"/>
              <w:bidi w:val="0"/>
              <w:spacing w:before="0" w:after="283"/>
              <w:jc w:val="both"/>
              <w:rPr>
                <w:sz w:val="20"/>
              </w:rPr>
            </w:pPr>
            <w:r>
              <w:rPr>
                <w:sz w:val="20"/>
              </w:rPr>
              <w:t>Price per Unit (based on 06/30/2026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900" w:type="dxa"/>
            <w:tcBorders/>
            <w:shd w:fill="FFFFFF" w:val="clear"/>
            <w:tcMar>
              <w:bottom w:w="0" w:type="dxa"/>
            </w:tcMar>
            <w:vAlign w:val="center"/>
          </w:tcPr>
          <w:p>
            <w:pPr>
              <w:pStyle w:val="TableContents"/>
              <w:bidi w:val="0"/>
              <w:spacing w:before="0" w:after="283"/>
              <w:jc w:val="right"/>
              <w:rPr>
                <w:sz w:val="20"/>
              </w:rPr>
            </w:pPr>
            <w:r>
              <w:rPr>
                <w:sz w:val="20"/>
              </w:rPr>
              <w:t>3,996</w:t>
            </w:r>
          </w:p>
        </w:tc>
        <w:tc>
          <w:tcPr>
            <w:tcW w:w="226" w:type="dxa"/>
            <w:tcBorders/>
            <w:shd w:fill="FFFFFF" w:val="clear"/>
            <w:tcMar>
              <w:bottom w:w="0" w:type="dxa"/>
            </w:tcMar>
            <w:vAlign w:val="center"/>
          </w:tcPr>
          <w:p>
            <w:pPr>
              <w:pStyle w:val="TableContents"/>
              <w:bidi w:val="0"/>
              <w:spacing w:before="0" w:after="283"/>
              <w:ind w:left="0" w:right="0" w:firstLine="100"/>
              <w:jc w:val="left"/>
              <w:rPr/>
            </w:pPr>
            <w:r>
              <w:rPr/>
              <w:t> </w:t>
            </w:r>
          </w:p>
        </w:tc>
      </w:tr>
      <w:tr>
        <w:trPr/>
        <w:tc>
          <w:tcPr>
            <w:tcW w:w="5090" w:type="dxa"/>
            <w:tcBorders/>
            <w:shd w:fill="CCEEFF" w:val="clear"/>
            <w:tcMar>
              <w:bottom w:w="0" w:type="dxa"/>
            </w:tcMar>
            <w:vAlign w:val="center"/>
          </w:tcPr>
          <w:p>
            <w:pPr>
              <w:pStyle w:val="TableContents"/>
              <w:bidi w:val="0"/>
              <w:spacing w:before="0" w:after="283"/>
              <w:jc w:val="both"/>
              <w:rPr>
                <w:sz w:val="20"/>
              </w:rPr>
            </w:pPr>
            <w:r>
              <w:rPr>
                <w:sz w:val="20"/>
              </w:rPr>
              <w:t xml:space="preserve">Units (1 XAUt = 1 troy ounce) </w:t>
            </w:r>
            <w:r>
              <w:rPr>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900" w:type="dxa"/>
            <w:tcBorders/>
            <w:shd w:fill="CCEEFF" w:val="clear"/>
            <w:tcMar>
              <w:bottom w:w="0" w:type="dxa"/>
            </w:tcMar>
            <w:vAlign w:val="center"/>
          </w:tcPr>
          <w:p>
            <w:pPr>
              <w:pStyle w:val="TableContents"/>
              <w:bidi w:val="0"/>
              <w:spacing w:before="0" w:after="283"/>
              <w:jc w:val="right"/>
              <w:rPr>
                <w:sz w:val="20"/>
              </w:rPr>
            </w:pPr>
            <w:r>
              <w:rPr>
                <w:sz w:val="20"/>
              </w:rPr>
              <w:t>33,318</w:t>
            </w:r>
          </w:p>
        </w:tc>
        <w:tc>
          <w:tcPr>
            <w:tcW w:w="226"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5090" w:type="dxa"/>
            <w:tcBorders/>
            <w:shd w:fill="FFFFFF" w:val="clear"/>
            <w:tcMar>
              <w:bottom w:w="0" w:type="dxa"/>
            </w:tcMar>
            <w:vAlign w:val="center"/>
          </w:tcPr>
          <w:p>
            <w:pPr>
              <w:pStyle w:val="TableContents"/>
              <w:bidi w:val="0"/>
              <w:spacing w:before="0" w:after="283"/>
              <w:jc w:val="both"/>
              <w:rPr>
                <w:b/>
                <w:sz w:val="20"/>
              </w:rPr>
            </w:pPr>
            <w:r>
              <w:rPr>
                <w:b/>
                <w:sz w:val="20"/>
              </w:rPr>
              <w:t>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900" w:type="dxa"/>
            <w:tcBorders/>
            <w:shd w:fill="FFFFFF" w:val="clear"/>
            <w:tcMar>
              <w:bottom w:w="0" w:type="dxa"/>
            </w:tcMar>
            <w:vAlign w:val="center"/>
          </w:tcPr>
          <w:p>
            <w:pPr>
              <w:pStyle w:val="TableContents"/>
              <w:bidi w:val="0"/>
              <w:spacing w:before="0" w:after="283"/>
              <w:jc w:val="right"/>
              <w:rPr>
                <w:b/>
                <w:sz w:val="20"/>
              </w:rPr>
            </w:pPr>
            <w:r>
              <w:rPr>
                <w:b/>
                <w:sz w:val="20"/>
              </w:rPr>
              <w:t>42.8</w:t>
            </w:r>
          </w:p>
        </w:tc>
        <w:tc>
          <w:tcPr>
            <w:tcW w:w="226"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5090" w:type="dxa"/>
            <w:tcBorders/>
            <w:shd w:fill="CCEEFF" w:val="clear"/>
            <w:tcMar>
              <w:bottom w:w="0" w:type="dxa"/>
            </w:tcMar>
            <w:vAlign w:val="center"/>
          </w:tcPr>
          <w:p>
            <w:pPr>
              <w:pStyle w:val="TableContents"/>
              <w:bidi w:val="0"/>
              <w:spacing w:before="0" w:after="283"/>
              <w:jc w:val="both"/>
              <w:rPr>
                <w:b/>
                <w:sz w:val="20"/>
              </w:rPr>
            </w:pPr>
            <w:r>
              <w:rPr>
                <w:b/>
                <w:sz w:val="20"/>
              </w:rPr>
              <w:t>Net Asset Value</w:t>
            </w:r>
            <w:r>
              <w:rPr>
                <w:b/>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900" w:type="dxa"/>
            <w:tcBorders/>
            <w:shd w:fill="CCEEFF" w:val="clear"/>
            <w:tcMar>
              <w:bottom w:w="0" w:type="dxa"/>
            </w:tcMar>
            <w:vAlign w:val="center"/>
          </w:tcPr>
          <w:p>
            <w:pPr>
              <w:pStyle w:val="TableContents"/>
              <w:bidi w:val="0"/>
              <w:spacing w:before="0" w:after="283"/>
              <w:jc w:val="right"/>
              <w:rPr>
                <w:b/>
                <w:sz w:val="20"/>
              </w:rPr>
            </w:pPr>
            <w:r>
              <w:rPr>
                <w:b/>
                <w:sz w:val="20"/>
              </w:rPr>
              <w:t>91.9</w:t>
            </w:r>
          </w:p>
        </w:tc>
        <w:tc>
          <w:tcPr>
            <w:tcW w:w="226" w:type="dxa"/>
            <w:tcBorders/>
            <w:shd w:fill="CCEEFF" w:val="clear"/>
            <w:tcMar>
              <w:bottom w:w="0" w:type="dxa"/>
            </w:tcMar>
            <w:vAlign w:val="center"/>
          </w:tcPr>
          <w:p>
            <w:pPr>
              <w:pStyle w:val="TableContents"/>
              <w:bidi w:val="0"/>
              <w:spacing w:before="0" w:after="283"/>
              <w:ind w:left="0" w:right="0" w:firstLine="40"/>
              <w:jc w:val="left"/>
              <w:rPr/>
            </w:pPr>
            <w:r>
              <w:rPr/>
              <w:t> </w:t>
            </w:r>
          </w:p>
        </w:tc>
      </w:tr>
      <w:tr>
        <w:trPr/>
        <w:tc>
          <w:tcPr>
            <w:tcW w:w="509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900" w:type="dxa"/>
            <w:tcBorders/>
            <w:shd w:fill="FFFFFF" w:val="clear"/>
            <w:tcMar>
              <w:bottom w:w="0" w:type="dxa"/>
            </w:tcMar>
            <w:vAlign w:val="center"/>
          </w:tcPr>
          <w:p>
            <w:pPr>
              <w:pStyle w:val="TableContents"/>
              <w:bidi w:val="0"/>
              <w:spacing w:before="0" w:after="283"/>
              <w:jc w:val="right"/>
              <w:rPr/>
            </w:pPr>
            <w:r>
              <w:rPr/>
              <w:t> </w:t>
            </w:r>
          </w:p>
        </w:tc>
        <w:tc>
          <w:tcPr>
            <w:tcW w:w="226"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5090" w:type="dxa"/>
            <w:tcBorders/>
            <w:shd w:fill="CCEEFF" w:val="clear"/>
            <w:tcMar>
              <w:bottom w:w="0" w:type="dxa"/>
            </w:tcMar>
            <w:vAlign w:val="center"/>
          </w:tcPr>
          <w:p>
            <w:pPr>
              <w:pStyle w:val="TableContents"/>
              <w:bidi w:val="0"/>
              <w:spacing w:before="0" w:after="283"/>
              <w:jc w:val="both"/>
              <w:rPr>
                <w:b/>
                <w:sz w:val="20"/>
              </w:rPr>
            </w:pPr>
            <w:r>
              <w:rPr>
                <w:b/>
                <w:sz w:val="20"/>
              </w:rPr>
              <w:t>Shares Outstanding</w:t>
            </w:r>
            <w:r>
              <w:rPr>
                <w:b/>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900" w:type="dxa"/>
            <w:tcBorders/>
            <w:shd w:fill="CCEEFF" w:val="clear"/>
            <w:tcMar>
              <w:bottom w:w="0" w:type="dxa"/>
            </w:tcMar>
            <w:vAlign w:val="center"/>
          </w:tcPr>
          <w:p>
            <w:pPr>
              <w:pStyle w:val="TableContents"/>
              <w:bidi w:val="0"/>
              <w:spacing w:before="0" w:after="283"/>
              <w:jc w:val="right"/>
              <w:rPr>
                <w:b/>
                <w:sz w:val="20"/>
              </w:rPr>
            </w:pPr>
            <w:r>
              <w:rPr>
                <w:b/>
                <w:sz w:val="20"/>
              </w:rPr>
              <w:t>37.6</w:t>
            </w:r>
          </w:p>
        </w:tc>
        <w:tc>
          <w:tcPr>
            <w:tcW w:w="226"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5090" w:type="dxa"/>
            <w:tcBorders/>
            <w:shd w:fill="FFFFFF" w:val="clear"/>
            <w:tcMar>
              <w:bottom w:w="0" w:type="dxa"/>
            </w:tcMar>
            <w:vAlign w:val="center"/>
          </w:tcPr>
          <w:p>
            <w:pPr>
              <w:pStyle w:val="TableContents"/>
              <w:bidi w:val="0"/>
              <w:spacing w:before="0" w:after="283"/>
              <w:jc w:val="both"/>
              <w:rPr>
                <w:b/>
                <w:sz w:val="20"/>
              </w:rPr>
            </w:pPr>
            <w:r>
              <w:rPr>
                <w:b/>
                <w:sz w:val="20"/>
              </w:rPr>
              <w:t>NAV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900" w:type="dxa"/>
            <w:tcBorders/>
            <w:shd w:fill="FFFFFF" w:val="clear"/>
            <w:tcMar>
              <w:bottom w:w="0" w:type="dxa"/>
            </w:tcMar>
            <w:vAlign w:val="center"/>
          </w:tcPr>
          <w:p>
            <w:pPr>
              <w:pStyle w:val="TableContents"/>
              <w:bidi w:val="0"/>
              <w:spacing w:before="0" w:after="283"/>
              <w:jc w:val="right"/>
              <w:rPr>
                <w:b/>
                <w:sz w:val="20"/>
              </w:rPr>
            </w:pPr>
            <w:r>
              <w:rPr>
                <w:b/>
                <w:sz w:val="20"/>
              </w:rPr>
              <w:t>2.44</w:t>
            </w:r>
          </w:p>
        </w:tc>
        <w:tc>
          <w:tcPr>
            <w:tcW w:w="226"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5090" w:type="dxa"/>
            <w:tcBorders/>
            <w:shd w:fill="CCEEFF" w:val="clear"/>
            <w:tcMar>
              <w:bottom w:w="0" w:type="dxa"/>
            </w:tcMar>
            <w:vAlign w:val="center"/>
          </w:tcPr>
          <w:p>
            <w:pPr>
              <w:pStyle w:val="TableContents"/>
              <w:bidi w:val="0"/>
              <w:spacing w:before="0" w:after="283"/>
              <w:jc w:val="both"/>
              <w:rPr>
                <w:b/>
                <w:sz w:val="20"/>
              </w:rPr>
            </w:pPr>
            <w:r>
              <w:rPr>
                <w:b/>
                <w:sz w:val="20"/>
              </w:rPr>
              <w:t>Gold Ounce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900" w:type="dxa"/>
            <w:tcBorders/>
            <w:shd w:fill="CCEEFF" w:val="clear"/>
            <w:tcMar>
              <w:bottom w:w="0" w:type="dxa"/>
            </w:tcMar>
            <w:vAlign w:val="center"/>
          </w:tcPr>
          <w:p>
            <w:pPr>
              <w:pStyle w:val="TableContents"/>
              <w:bidi w:val="0"/>
              <w:spacing w:before="0" w:after="283"/>
              <w:jc w:val="right"/>
              <w:rPr>
                <w:b/>
                <w:sz w:val="20"/>
              </w:rPr>
            </w:pPr>
            <w:r>
              <w:rPr>
                <w:b/>
                <w:sz w:val="20"/>
              </w:rPr>
              <w:t>0.00089</w:t>
            </w:r>
          </w:p>
        </w:tc>
        <w:tc>
          <w:tcPr>
            <w:tcW w:w="226"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5090" w:type="dxa"/>
            <w:tcBorders/>
            <w:shd w:fill="FFFFFF" w:val="clear"/>
            <w:tcMar>
              <w:bottom w:w="0" w:type="dxa"/>
            </w:tcMar>
            <w:vAlign w:val="center"/>
          </w:tcPr>
          <w:p>
            <w:pPr>
              <w:pStyle w:val="TableContents"/>
              <w:bidi w:val="0"/>
              <w:spacing w:before="0" w:after="283"/>
              <w:jc w:val="both"/>
              <w:rPr>
                <w:b/>
                <w:sz w:val="20"/>
              </w:rPr>
            </w:pPr>
            <w:r>
              <w:rPr>
                <w:b/>
                <w:sz w:val="20"/>
              </w:rPr>
              <w:t>XAUt Value per Share</w:t>
            </w:r>
            <w:r>
              <w:rPr>
                <w:b/>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900" w:type="dxa"/>
            <w:tcBorders/>
            <w:shd w:fill="FFFFFF" w:val="clear"/>
            <w:tcMar>
              <w:bottom w:w="0" w:type="dxa"/>
            </w:tcMar>
            <w:vAlign w:val="center"/>
          </w:tcPr>
          <w:p>
            <w:pPr>
              <w:pStyle w:val="TableContents"/>
              <w:bidi w:val="0"/>
              <w:spacing w:before="0" w:after="283"/>
              <w:jc w:val="right"/>
              <w:rPr>
                <w:b/>
                <w:sz w:val="20"/>
              </w:rPr>
            </w:pPr>
            <w:r>
              <w:rPr>
                <w:b/>
                <w:sz w:val="20"/>
              </w:rPr>
              <w:t>3.54</w:t>
            </w:r>
          </w:p>
        </w:tc>
        <w:tc>
          <w:tcPr>
            <w:tcW w:w="226"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120" w:after="12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1"/>
        <w:gridCol w:w="318"/>
        <w:gridCol w:w="9846"/>
      </w:tblGrid>
      <w:tr>
        <w:trPr/>
        <w:tc>
          <w:tcPr>
            <w:tcW w:w="4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(1)</w:t>
            </w:r>
          </w:p>
        </w:tc>
        <w:tc>
          <w:tcPr>
            <w:tcW w:w="9846" w:type="dxa"/>
            <w:tcBorders/>
            <w:vAlign w:val="center"/>
          </w:tcPr>
          <w:p>
            <w:pPr>
              <w:pStyle w:val="TableContents"/>
              <w:bidi w:val="0"/>
              <w:spacing w:before="0" w:after="283"/>
              <w:jc w:val="left"/>
              <w:rPr/>
            </w:pPr>
            <w:r>
              <w:rPr/>
              <w:t>Includes 8,000 units of XAUt that are staked into XAUE, a yield-bearing digital gold protocol.</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(2)</w:t>
            </w:r>
          </w:p>
        </w:tc>
        <w:tc>
          <w:tcPr>
            <w:tcW w:w="9916" w:type="dxa"/>
            <w:tcBorders/>
            <w:vAlign w:val="center"/>
          </w:tcPr>
          <w:p>
            <w:pPr>
              <w:pStyle w:val="TableContents"/>
              <w:bidi w:val="0"/>
              <w:jc w:val="left"/>
              <w:rPr/>
            </w:pPr>
            <w:r>
              <w:rPr/>
              <w:t>NAV is calculated as digital assets plus cash minus debt.</w:t>
            </w:r>
          </w:p>
          <w:p>
            <w:pPr>
              <w:pStyle w:val="TableContents"/>
              <w:bidi w:val="0"/>
              <w:spacing w:before="0" w:after="283"/>
              <w:jc w:val="left"/>
              <w:rPr/>
            </w:pPr>
            <w:r>
              <w:rPr/>
              <w:t> </w:t>
            </w:r>
          </w:p>
        </w:tc>
      </w:tr>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(3)</w:t>
            </w:r>
          </w:p>
        </w:tc>
        <w:tc>
          <w:tcPr>
            <w:tcW w:w="9916" w:type="dxa"/>
            <w:tcBorders/>
            <w:vAlign w:val="center"/>
          </w:tcPr>
          <w:p>
            <w:pPr>
              <w:pStyle w:val="TableContents"/>
              <w:bidi w:val="0"/>
              <w:jc w:val="left"/>
              <w:rPr/>
            </w:pPr>
            <w:r>
              <w:rPr/>
              <w:t>The number of shares outstanding is presented in million, and includes issued and outstanding share capital and pre-funded warrants and primary warrants that were outstanding as of June 30, 2026.</w:t>
            </w:r>
          </w:p>
          <w:p>
            <w:pPr>
              <w:pStyle w:val="TableContents"/>
              <w:bidi w:val="0"/>
              <w:spacing w:before="0" w:after="283"/>
              <w:jc w:val="left"/>
              <w:rPr/>
            </w:pPr>
            <w:r>
              <w:rPr/>
              <w:t> </w:t>
            </w:r>
          </w:p>
        </w:tc>
      </w:tr>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(4)</w:t>
            </w:r>
          </w:p>
        </w:tc>
        <w:tc>
          <w:tcPr>
            <w:tcW w:w="9916" w:type="dxa"/>
            <w:tcBorders/>
            <w:vAlign w:val="center"/>
          </w:tcPr>
          <w:p>
            <w:pPr>
              <w:pStyle w:val="TableContents"/>
              <w:bidi w:val="0"/>
              <w:spacing w:before="0" w:after="283"/>
              <w:jc w:val="left"/>
              <w:rPr/>
            </w:pPr>
            <w:r>
              <w:rPr/>
              <w:t>XAUt value is based on the closing price of US$3,996 as of June 30, 2026.</w:t>
            </w:r>
          </w:p>
        </w:tc>
      </w:tr>
    </w:tbl>
    <w:p>
      <w:pPr>
        <w:pStyle w:val="TextBody"/>
        <w:bidi w:val="0"/>
        <w:spacing w:before="0" w:after="0"/>
        <w:ind w:left="0" w:right="0" w:hanging="0"/>
        <w:jc w:val="both"/>
        <w:rPr/>
      </w:pPr>
      <w:r>
        <w:rPr/>
        <w:t> </w:t>
      </w:r>
    </w:p>
    <w:p>
      <w:pPr>
        <w:pStyle w:val="TextBody"/>
        <w:shd w:fill="FFFFFF" w:val="clear"/>
        <w:bidi w:val="0"/>
        <w:spacing w:before="0" w:after="0"/>
        <w:ind w:left="0" w:right="0" w:hanging="0"/>
        <w:jc w:val="left"/>
        <w:rPr>
          <w:sz w:val="20"/>
        </w:rPr>
      </w:pPr>
      <w:r>
        <w:rPr>
          <w:b/>
          <w:sz w:val="20"/>
        </w:rPr>
        <w:t>About Aurelion</w:t>
        <w:br/>
      </w:r>
      <w:r>
        <w:rPr>
          <w:sz w:val="20"/>
        </w:rPr>
        <w:t>Aurelion is a publicly traded company building a digital gold risk and technology infrastructure around XAU₮, on-chain gold backed by physical LBMA bars. XAU₮ combines the stability of physical gold with the efficiency of blockchain, providing investors access to tokenized gold reserve that could serve as a safe haven to inflation, currency devaluation and crypto volatility. In parallel to building a business around the development of tokenized gold, Aurelion provides wealth management and asset management services.</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sz w:val="20"/>
        </w:rPr>
      </w:pPr>
      <w:r>
        <w:rPr>
          <w:b/>
          <w:sz w:val="20"/>
        </w:rPr>
        <w:t>Safe Harbor Statement</w:t>
        <w:br/>
      </w:r>
      <w:r>
        <w:rPr>
          <w:sz w:val="20"/>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although not all forward-looking statements contain these words. These statements are based on assumptions and assessments made by Aurelion in light of its experience and perception of historical trends, current conditions, future developments and other factors it believes appropriate. By their nature, forward-looking statements involve risk and uncertainty, because they relate to events and depend on circumstances that will occur in the future and the factors described in the context of such forward-looking statements in this announcement could cause actual results and developments to differ materially from those expressed in or implied by such forward-looking statements. Although it is believed that the expectations reflected in such forward-looking statements are reasonable, no assurance can be given that such expectations will prove to be correct, and you are therefore cautioned not to place undue reliance on these forward-looking statements which speak only as at the date of this announcement.</w:t>
      </w:r>
    </w:p>
    <w:p>
      <w:pPr>
        <w:pStyle w:val="TextBody"/>
        <w:shd w:fill="FFFFFF" w:val="clear"/>
        <w:bidi w:val="0"/>
        <w:spacing w:before="0" w:after="0"/>
        <w:ind w:left="0" w:right="0" w:hanging="0"/>
        <w:jc w:val="left"/>
        <w:rPr/>
      </w:pPr>
      <w:r>
        <w:rPr/>
        <w:t> </w:t>
      </w:r>
    </w:p>
    <w:p>
      <w:pPr>
        <w:pStyle w:val="TextBody"/>
        <w:bidi w:val="0"/>
        <w:spacing w:before="120" w:after="12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pPr>
      <w:r>
        <w:rPr/>
        <w:t> </w:t>
      </w:r>
    </w:p>
    <w:p>
      <w:pPr>
        <w:pStyle w:val="TextBody"/>
        <w:bidi w:val="0"/>
        <w:spacing w:before="0" w:after="0"/>
        <w:ind w:left="0" w:right="0" w:hanging="0"/>
        <w:jc w:val="left"/>
        <w:rPr>
          <w:sz w:val="20"/>
        </w:rPr>
      </w:pPr>
      <w:r>
        <w:rPr>
          <w:sz w:val="20"/>
        </w:rPr>
        <w:t>Forward-looking statements are not guarantees of future performance. A number of factors could cause actual results to differ materially from those contained in any forward-looking statement, including but not limited to: changes in general economic, business, industry and market conditions, including interest rates and the price of gold; changes in applicable laws and regulations, including with respect to cryptocurrencies, stablecoin ecosystems and decentralized finance protocols; the Company's ability to access additional capital and to attract and retain qualified personnel; changes in the price of digital assets, including XAU₮, and in the price correlation between stablecoins and their pegged assets; risks associated with holding digital assets, including price volatility, limited liquidity and trading volumes, susceptibility to market abuse and manipulation, compliance and internal control failures at exchanges, and other risks inherent in their electronic, virtual-form and decentralized nature; the possibility of greater fraud, security failures or operational problems on digital asset trading venues compared to more established asset classes, and any malfunction, breakdown or abandonment of underlying blockchain protocols or other technological difficulties that may prevent access to or use of digital assets; the fluctuation of the Company's operating results, including because it may be required to account for its digital assets at fair value; limitations on the Company's ability to time the price of its digital asset purchases; potential subjection to corporate alternative minimum tax due to unrealized fair value gains on digital asset holdings; legal, commercial, regulatory and technical uncertainty regarding digital assets, including the possibility that regulators reclassify any digital assets the Company holds as a security or a "cash item," causing it to be in violation of securities laws or to be classified as an "investment company" under the Investment Company Act of 1940; competition from other digital asset treasury companies and financial products related to gold; elevation of rehypothecation risk in times of changing market conditions; risks arising from the use of third-party custodians for digital assets, including loss of direct control and dependence on such custodians' security practices and operational integrity, and the potential loss of digital assets as a result of custodian insolvency, insider theft, or security breaches; and risks associated with the Company's participation in the XAUE protocol, including fluctuation of the XAU₮ to XAUE exchange ratio, counterparty default risk in connection with institutional lending activities, smart contract vulnerabilities or failures, the performance and operational integrity of the protocol's issuer, participants and service providers, potential liquidity constraints on the redemption of XAUE, and other risks identified in the XAUE protocol's risk disclosure statement. Further information regarding these and other risks is included in the Company's filings with the Securities and Exchange Commission, including its annual report on Form 20-F. The Company does not undertake any obligation to update any forward-looking statement as a result of new information, future events or otherwise, except as required under applicable law.</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sz w:val="20"/>
        </w:rPr>
      </w:pPr>
      <w:r>
        <w:rPr>
          <w:b/>
          <w:sz w:val="20"/>
        </w:rPr>
        <w:t>Contacts</w:t>
        <w:br/>
      </w:r>
      <w:r>
        <w:rPr>
          <w:sz w:val="20"/>
        </w:rPr>
        <w:t>Investor Contact: ir@aurelion.com</w:t>
      </w:r>
    </w:p>
    <w:p>
      <w:pPr>
        <w:pStyle w:val="TextBody"/>
        <w:bidi w:val="0"/>
        <w:spacing w:before="120" w:after="12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olor w:val="073963"/>
        </w:rPr>
      </w:pPr>
      <w:r>
        <w:rPr>
          <w:color w:val="073963"/>
        </w:rPr>
        <w:t> </w:t>
      </w:r>
    </w:p>
    <w:p>
      <w:pPr>
        <w:pStyle w:val="TextBody"/>
        <w:shd w:fill="FFFFFF" w:val="clear"/>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120" w:right="0" w:hanging="0"/>
        <w:jc w:val="center"/>
        <w:rPr>
          <w:b/>
          <w:sz w:val="20"/>
        </w:rPr>
      </w:pPr>
      <w:r>
        <w:rPr>
          <w:b/>
          <w:sz w:val="20"/>
        </w:rPr>
        <w:t>Aurelion Inc.</w:t>
      </w:r>
    </w:p>
    <w:p>
      <w:pPr>
        <w:pStyle w:val="TextBody"/>
        <w:bidi w:val="0"/>
        <w:spacing w:before="0" w:after="0"/>
        <w:ind w:left="120" w:right="0" w:hanging="0"/>
        <w:jc w:val="center"/>
        <w:rPr>
          <w:b/>
          <w:sz w:val="20"/>
        </w:rPr>
      </w:pPr>
      <w:r>
        <w:rPr>
          <w:b/>
          <w:sz w:val="20"/>
        </w:rPr>
        <w:t>Condensed Consolidated Statements of Income</w:t>
      </w:r>
    </w:p>
    <w:p>
      <w:pPr>
        <w:pStyle w:val="TextBody"/>
        <w:bidi w:val="0"/>
        <w:spacing w:before="0" w:after="0"/>
        <w:ind w:left="120" w:right="0" w:hanging="0"/>
        <w:jc w:val="center"/>
        <w:rPr>
          <w:sz w:val="20"/>
        </w:rPr>
      </w:pPr>
      <w:r>
        <w:rPr>
          <w:sz w:val="20"/>
        </w:rPr>
        <w:t>(in USD, except for shares data)</w:t>
      </w:r>
    </w:p>
    <w:p>
      <w:pPr>
        <w:pStyle w:val="TextBody"/>
        <w:bidi w:val="0"/>
        <w:spacing w:before="0" w:after="0"/>
        <w:ind w:left="120" w:right="0" w:hanging="0"/>
        <w:jc w:val="center"/>
        <w:rPr/>
      </w:pPr>
      <w:r>
        <w:rPr/>
        <w:t> </w:t>
      </w:r>
    </w:p>
    <w:p>
      <w:pPr>
        <w:pStyle w:val="TextBody"/>
        <w:bidi w:val="0"/>
        <w:spacing w:before="0" w:after="0"/>
        <w:ind w:left="120" w:right="0" w:hanging="0"/>
        <w:jc w:val="left"/>
        <w:rPr/>
      </w:pPr>
      <w:r>
        <w:rPr/>
        <w:t> </w:t>
      </w:r>
    </w:p>
    <w:tbl>
      <w:tblPr>
        <w:tblW w:w="9909" w:type="dxa"/>
        <w:jc w:val="left"/>
        <w:tblInd w:w="0" w:type="dxa"/>
        <w:tblLayout w:type="fixed"/>
        <w:tblCellMar>
          <w:top w:w="0" w:type="dxa"/>
          <w:left w:w="0" w:type="dxa"/>
          <w:bottom w:w="0" w:type="dxa"/>
          <w:right w:w="0" w:type="dxa"/>
        </w:tblCellMar>
      </w:tblPr>
      <w:tblGrid>
        <w:gridCol w:w="7098"/>
        <w:gridCol w:w="106"/>
        <w:gridCol w:w="60"/>
        <w:gridCol w:w="60"/>
        <w:gridCol w:w="1100"/>
        <w:gridCol w:w="80"/>
        <w:gridCol w:w="60"/>
        <w:gridCol w:w="60"/>
        <w:gridCol w:w="1010"/>
        <w:gridCol w:w="275"/>
      </w:tblGrid>
      <w:tr>
        <w:trPr/>
        <w:tc>
          <w:tcPr>
            <w:tcW w:w="720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645" w:type="dxa"/>
            <w:gridSpan w:val="7"/>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Three months </w:t>
              <w:br/>
              <w:t>ended June 30,</w:t>
            </w:r>
          </w:p>
        </w:tc>
      </w:tr>
      <w:tr>
        <w:trPr/>
        <w:tc>
          <w:tcPr>
            <w:tcW w:w="720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3"/>
            <w:tcBorders/>
            <w:vAlign w:val="center"/>
          </w:tcPr>
          <w:p>
            <w:pPr>
              <w:pStyle w:val="TableContents"/>
              <w:bidi w:val="0"/>
              <w:spacing w:before="0" w:after="283"/>
              <w:jc w:val="center"/>
              <w:rPr>
                <w:b/>
                <w:sz w:val="20"/>
              </w:rPr>
            </w:pPr>
            <w:r>
              <w:rPr>
                <w:b/>
                <w:sz w:val="20"/>
              </w:rPr>
              <w:t xml:space="preserve">2025 </w:t>
              <w:br/>
              <w:t>(unaudited)</w:t>
            </w:r>
          </w:p>
        </w:tc>
        <w:tc>
          <w:tcPr>
            <w:tcW w:w="60" w:type="dxa"/>
            <w:tcBorders/>
            <w:vAlign w:val="center"/>
          </w:tcPr>
          <w:p>
            <w:pPr>
              <w:pStyle w:val="TableContents"/>
              <w:bidi w:val="0"/>
              <w:spacing w:before="0" w:after="283"/>
              <w:jc w:val="left"/>
              <w:rPr/>
            </w:pPr>
            <w:r>
              <w:rPr/>
              <w:t> </w:t>
            </w:r>
          </w:p>
        </w:tc>
        <w:tc>
          <w:tcPr>
            <w:tcW w:w="1345" w:type="dxa"/>
            <w:gridSpan w:val="3"/>
            <w:tcBorders/>
            <w:vAlign w:val="center"/>
          </w:tcPr>
          <w:p>
            <w:pPr>
              <w:pStyle w:val="TableContents"/>
              <w:bidi w:val="0"/>
              <w:spacing w:before="0" w:after="283"/>
              <w:jc w:val="center"/>
              <w:rPr>
                <w:b/>
                <w:sz w:val="20"/>
              </w:rPr>
            </w:pPr>
            <w:r>
              <w:rPr>
                <w:b/>
                <w:sz w:val="20"/>
              </w:rPr>
              <w:t xml:space="preserve">2026 </w:t>
              <w:br/>
              <w:t>(unaudited)</w:t>
            </w:r>
          </w:p>
        </w:tc>
      </w:tr>
      <w:tr>
        <w:trPr/>
        <w:tc>
          <w:tcPr>
            <w:tcW w:w="7098" w:type="dxa"/>
            <w:tcBorders/>
            <w:shd w:fill="CCEEFF" w:val="clear"/>
            <w:vAlign w:val="center"/>
          </w:tcPr>
          <w:p>
            <w:pPr>
              <w:pStyle w:val="TableContents"/>
              <w:bidi w:val="0"/>
              <w:spacing w:before="0" w:after="283"/>
              <w:jc w:val="left"/>
              <w:rPr>
                <w:b/>
                <w:sz w:val="20"/>
              </w:rPr>
            </w:pPr>
            <w:r>
              <w:rPr>
                <w:b/>
                <w:sz w:val="20"/>
              </w:rPr>
              <w:t>Total net revenue</w:t>
            </w:r>
          </w:p>
        </w:tc>
        <w:tc>
          <w:tcPr>
            <w:tcW w:w="106" w:type="dxa"/>
            <w:tcBorders/>
            <w:shd w:fill="CCEEFF" w:val="clear"/>
            <w:vAlign w:val="center"/>
          </w:tcPr>
          <w:p>
            <w:pPr>
              <w:pStyle w:val="TableContents"/>
              <w:bidi w:val="0"/>
              <w:spacing w:before="0" w:after="283"/>
              <w:jc w:val="left"/>
              <w:rPr/>
            </w:pPr>
            <w:r>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0"/>
              <w:ind w:left="0" w:right="0" w:hanging="0"/>
              <w:jc w:val="right"/>
              <w:rPr>
                <w:b/>
                <w:sz w:val="20"/>
              </w:rPr>
            </w:pPr>
            <w:r>
              <w:rPr>
                <w:b/>
                <w:sz w:val="20"/>
              </w:rPr>
              <w:t>2,975,282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sz w:val="20"/>
              </w:rPr>
            </w:pPr>
            <w:r>
              <w:rPr>
                <w:b/>
                <w:sz w:val="20"/>
              </w:rPr>
              <w:t>-</w:t>
            </w:r>
          </w:p>
        </w:tc>
        <w:tc>
          <w:tcPr>
            <w:tcW w:w="275" w:type="dxa"/>
            <w:tcBorders/>
            <w:shd w:fill="CCEEFF" w:val="clear"/>
            <w:vAlign w:val="center"/>
          </w:tcPr>
          <w:p>
            <w:pPr>
              <w:pStyle w:val="TableContents"/>
              <w:bidi w:val="0"/>
              <w:spacing w:before="0" w:after="283"/>
              <w:jc w:val="left"/>
              <w:rPr/>
            </w:pPr>
            <w:r>
              <w:rPr/>
              <w:t> </w:t>
            </w:r>
          </w:p>
        </w:tc>
      </w:tr>
      <w:tr>
        <w:trPr/>
        <w:tc>
          <w:tcPr>
            <w:tcW w:w="7204" w:type="dxa"/>
            <w:gridSpan w:val="2"/>
            <w:tcBorders/>
            <w:shd w:fill="FFFFFF" w:val="clear"/>
            <w:vAlign w:val="center"/>
          </w:tcPr>
          <w:p>
            <w:pPr>
              <w:pStyle w:val="TableContents"/>
              <w:bidi w:val="0"/>
              <w:spacing w:before="0" w:after="283"/>
              <w:jc w:val="left"/>
              <w:rPr>
                <w:b/>
                <w:sz w:val="20"/>
              </w:rPr>
            </w:pPr>
            <w:r>
              <w:rPr>
                <w:b/>
                <w:sz w:val="20"/>
              </w:rPr>
              <w:t>Total distribution and service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sz w:val="20"/>
              </w:rPr>
            </w:pPr>
            <w:r>
              <w:rPr>
                <w:b/>
                <w:sz w:val="20"/>
              </w:rPr>
              <w:t>4,107,433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b/>
                <w:sz w:val="20"/>
              </w:rPr>
            </w:pPr>
            <w:r>
              <w:rPr>
                <w:b/>
                <w:sz w:val="20"/>
              </w:rPr>
              <w:t>-</w:t>
            </w:r>
          </w:p>
        </w:tc>
        <w:tc>
          <w:tcPr>
            <w:tcW w:w="275" w:type="dxa"/>
            <w:tcBorders/>
            <w:shd w:fill="FFFFFF" w:val="clear"/>
            <w:vAlign w:val="center"/>
          </w:tcPr>
          <w:p>
            <w:pPr>
              <w:pStyle w:val="TableContents"/>
              <w:bidi w:val="0"/>
              <w:spacing w:before="0" w:after="283"/>
              <w:jc w:val="left"/>
              <w:rPr/>
            </w:pPr>
            <w:r>
              <w:rPr/>
              <w:t> </w:t>
            </w:r>
          </w:p>
        </w:tc>
      </w:tr>
      <w:tr>
        <w:trPr/>
        <w:tc>
          <w:tcPr>
            <w:tcW w:w="7204" w:type="dxa"/>
            <w:gridSpan w:val="2"/>
            <w:tcBorders/>
            <w:shd w:fill="CCEEFF" w:val="clear"/>
            <w:vAlign w:val="center"/>
          </w:tcPr>
          <w:p>
            <w:pPr>
              <w:pStyle w:val="TableContents"/>
              <w:bidi w:val="0"/>
              <w:spacing w:before="0" w:after="283"/>
              <w:jc w:val="left"/>
              <w:rPr>
                <w:b/>
                <w:sz w:val="20"/>
              </w:rPr>
            </w:pPr>
            <w:r>
              <w:rPr>
                <w:b/>
                <w:sz w:val="20"/>
              </w:rPr>
              <w:t>Gross Margin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sz w:val="20"/>
              </w:rPr>
            </w:pPr>
            <w:r>
              <w:rPr>
                <w:b/>
                <w:sz w:val="20"/>
              </w:rPr>
              <w:t>(1,132,151</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sz w:val="20"/>
              </w:rPr>
            </w:pPr>
            <w:r>
              <w:rPr>
                <w:b/>
                <w:sz w:val="20"/>
              </w:rPr>
              <w:t>-</w:t>
            </w:r>
          </w:p>
        </w:tc>
        <w:tc>
          <w:tcPr>
            <w:tcW w:w="275" w:type="dxa"/>
            <w:tcBorders/>
            <w:shd w:fill="CCEEFF" w:val="clear"/>
            <w:vAlign w:val="center"/>
          </w:tcPr>
          <w:p>
            <w:pPr>
              <w:pStyle w:val="TableContents"/>
              <w:bidi w:val="0"/>
              <w:spacing w:before="0" w:after="283"/>
              <w:jc w:val="left"/>
              <w:rPr/>
            </w:pPr>
            <w:r>
              <w:rPr/>
              <w:t> </w:t>
            </w:r>
          </w:p>
        </w:tc>
      </w:tr>
      <w:tr>
        <w:trPr/>
        <w:tc>
          <w:tcPr>
            <w:tcW w:w="7204" w:type="dxa"/>
            <w:gridSpan w:val="2"/>
            <w:tcBorders/>
            <w:vAlign w:val="center"/>
          </w:tcPr>
          <w:p>
            <w:pPr>
              <w:pStyle w:val="TableContents"/>
              <w:bidi w:val="0"/>
              <w:spacing w:before="0" w:after="283"/>
              <w:jc w:val="left"/>
              <w:rPr>
                <w:b/>
                <w:sz w:val="20"/>
              </w:rPr>
            </w:pPr>
            <w:r>
              <w:rPr>
                <w:b/>
                <w:sz w:val="20"/>
              </w:rPr>
              <w:t>Operating expense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r>
      <w:tr>
        <w:trPr/>
        <w:tc>
          <w:tcPr>
            <w:tcW w:w="7204" w:type="dxa"/>
            <w:gridSpan w:val="2"/>
            <w:tcBorders/>
            <w:shd w:fill="CCEEFF" w:val="clear"/>
            <w:vAlign w:val="center"/>
          </w:tcPr>
          <w:p>
            <w:pPr>
              <w:pStyle w:val="TableContents"/>
              <w:bidi w:val="0"/>
              <w:spacing w:before="0" w:after="283"/>
              <w:jc w:val="left"/>
              <w:rPr>
                <w:sz w:val="20"/>
              </w:rPr>
            </w:pPr>
            <w:r>
              <w:rPr>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37,653</w:t>
            </w:r>
          </w:p>
        </w:tc>
        <w:tc>
          <w:tcPr>
            <w:tcW w:w="275" w:type="dxa"/>
            <w:tcBorders/>
            <w:shd w:fill="CCEEFF" w:val="clear"/>
            <w:vAlign w:val="center"/>
          </w:tcPr>
          <w:p>
            <w:pPr>
              <w:pStyle w:val="TableContents"/>
              <w:bidi w:val="0"/>
              <w:spacing w:before="0" w:after="283"/>
              <w:jc w:val="left"/>
              <w:rPr/>
            </w:pPr>
            <w:r>
              <w:rPr/>
              <w:t> </w:t>
            </w:r>
          </w:p>
        </w:tc>
      </w:tr>
      <w:tr>
        <w:trPr/>
        <w:tc>
          <w:tcPr>
            <w:tcW w:w="7204" w:type="dxa"/>
            <w:gridSpan w:val="2"/>
            <w:tcBorders/>
            <w:vAlign w:val="center"/>
          </w:tcPr>
          <w:p>
            <w:pPr>
              <w:pStyle w:val="TableContents"/>
              <w:bidi w:val="0"/>
              <w:spacing w:before="0" w:after="283"/>
              <w:jc w:val="left"/>
              <w:rPr>
                <w:sz w:val="20"/>
              </w:rPr>
            </w:pPr>
            <w:r>
              <w:rPr>
                <w:sz w:val="20"/>
              </w:rPr>
              <w:t>General and administrative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sz w:val="20"/>
              </w:rPr>
            </w:pPr>
            <w:r>
              <w:rPr>
                <w:sz w:val="20"/>
              </w:rPr>
              <w:t>482,698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sz w:val="20"/>
              </w:rPr>
            </w:pPr>
            <w:r>
              <w:rPr>
                <w:sz w:val="20"/>
              </w:rPr>
              <w:t>2,072,369</w:t>
            </w:r>
          </w:p>
        </w:tc>
        <w:tc>
          <w:tcPr>
            <w:tcW w:w="275" w:type="dxa"/>
            <w:tcBorders/>
            <w:vAlign w:val="center"/>
          </w:tcPr>
          <w:p>
            <w:pPr>
              <w:pStyle w:val="TableContents"/>
              <w:bidi w:val="0"/>
              <w:spacing w:before="0" w:after="283"/>
              <w:jc w:val="left"/>
              <w:rPr/>
            </w:pPr>
            <w:r>
              <w:rPr/>
              <w:t> </w:t>
            </w:r>
          </w:p>
        </w:tc>
      </w:tr>
      <w:tr>
        <w:trPr/>
        <w:tc>
          <w:tcPr>
            <w:tcW w:w="7204" w:type="dxa"/>
            <w:gridSpan w:val="2"/>
            <w:tcBorders/>
            <w:shd w:fill="CCEEFF" w:val="clear"/>
            <w:vAlign w:val="center"/>
          </w:tcPr>
          <w:p>
            <w:pPr>
              <w:pStyle w:val="TableContents"/>
              <w:bidi w:val="0"/>
              <w:spacing w:before="0" w:after="283"/>
              <w:jc w:val="left"/>
              <w:rPr>
                <w:sz w:val="20"/>
              </w:rPr>
            </w:pPr>
            <w:r>
              <w:rPr>
                <w:sz w:val="20"/>
              </w:rPr>
              <w:t>Provision for credit losses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sz w:val="20"/>
              </w:rPr>
            </w:pPr>
            <w:r>
              <w:rPr>
                <w:sz w:val="20"/>
              </w:rPr>
              <w:t>32,599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w:t>
            </w:r>
          </w:p>
        </w:tc>
        <w:tc>
          <w:tcPr>
            <w:tcW w:w="275" w:type="dxa"/>
            <w:tcBorders/>
            <w:shd w:fill="CCEEFF" w:val="clear"/>
            <w:vAlign w:val="center"/>
          </w:tcPr>
          <w:p>
            <w:pPr>
              <w:pStyle w:val="TableContents"/>
              <w:bidi w:val="0"/>
              <w:spacing w:before="0" w:after="283"/>
              <w:jc w:val="left"/>
              <w:rPr/>
            </w:pPr>
            <w:r>
              <w:rPr/>
              <w:t> </w:t>
            </w:r>
          </w:p>
        </w:tc>
      </w:tr>
      <w:tr>
        <w:trPr/>
        <w:tc>
          <w:tcPr>
            <w:tcW w:w="7204" w:type="dxa"/>
            <w:gridSpan w:val="2"/>
            <w:tcBorders/>
            <w:vAlign w:val="center"/>
          </w:tcPr>
          <w:p>
            <w:pPr>
              <w:pStyle w:val="TableContents"/>
              <w:bidi w:val="0"/>
              <w:spacing w:before="0" w:after="283"/>
              <w:jc w:val="left"/>
              <w:rPr>
                <w:sz w:val="20"/>
              </w:rPr>
            </w:pPr>
            <w:r>
              <w:rPr>
                <w:sz w:val="20"/>
              </w:rPr>
              <w:t>Unrealized loss/(gain) on XAUt and XAUt collateral receivables due from related party</w:t>
            </w:r>
            <w:r>
              <w:rPr>
                <w:position w:val="7"/>
                <w:sz w:val="16"/>
                <w:sz w:val="20"/>
              </w:rPr>
              <w:t>(i)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sz w:val="20"/>
              </w:rPr>
            </w:pPr>
            <w:r>
              <w:rPr>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sz w:val="20"/>
              </w:rPr>
            </w:pPr>
            <w:r>
              <w:rPr>
                <w:sz w:val="20"/>
              </w:rPr>
              <w:t>17,476,981</w:t>
            </w:r>
          </w:p>
        </w:tc>
        <w:tc>
          <w:tcPr>
            <w:tcW w:w="275" w:type="dxa"/>
            <w:tcBorders/>
            <w:vAlign w:val="center"/>
          </w:tcPr>
          <w:p>
            <w:pPr>
              <w:pStyle w:val="TableContents"/>
              <w:bidi w:val="0"/>
              <w:spacing w:before="0" w:after="283"/>
              <w:jc w:val="left"/>
              <w:rPr/>
            </w:pPr>
            <w:r>
              <w:rPr/>
              <w:t> </w:t>
            </w:r>
          </w:p>
        </w:tc>
      </w:tr>
      <w:tr>
        <w:trPr/>
        <w:tc>
          <w:tcPr>
            <w:tcW w:w="7204" w:type="dxa"/>
            <w:gridSpan w:val="2"/>
            <w:tcBorders/>
            <w:shd w:fill="CCEEFF" w:val="clear"/>
            <w:vAlign w:val="center"/>
          </w:tcPr>
          <w:p>
            <w:pPr>
              <w:pStyle w:val="TableContents"/>
              <w:bidi w:val="0"/>
              <w:spacing w:before="0" w:after="0"/>
              <w:ind w:left="0" w:right="0" w:hanging="0"/>
              <w:jc w:val="left"/>
              <w:rPr>
                <w:sz w:val="20"/>
              </w:rPr>
            </w:pPr>
            <w:r>
              <w:rPr>
                <w:sz w:val="20"/>
              </w:rPr>
              <w:t>Unrealized loss/(gain) on XAUE</w:t>
            </w:r>
            <w:r>
              <w:rPr>
                <w:position w:val="7"/>
                <w:sz w:val="16"/>
                <w:sz w:val="20"/>
              </w:rPr>
              <w:t>(ii)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sz w:val="20"/>
              </w:rPr>
            </w:pPr>
            <w:r>
              <w:rPr>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0"/>
              <w:ind w:left="0" w:right="0" w:hanging="0"/>
              <w:jc w:val="right"/>
              <w:rPr>
                <w:sz w:val="20"/>
              </w:rPr>
            </w:pPr>
            <w:r>
              <w:rPr>
                <w:sz w:val="20"/>
              </w:rPr>
              <w:t>3,707,169</w:t>
            </w:r>
          </w:p>
        </w:tc>
        <w:tc>
          <w:tcPr>
            <w:tcW w:w="275" w:type="dxa"/>
            <w:tcBorders/>
            <w:shd w:fill="CCEEFF" w:val="clear"/>
            <w:vAlign w:val="center"/>
          </w:tcPr>
          <w:p>
            <w:pPr>
              <w:pStyle w:val="TableContents"/>
              <w:bidi w:val="0"/>
              <w:spacing w:before="0" w:after="283"/>
              <w:jc w:val="left"/>
              <w:rPr/>
            </w:pPr>
            <w:r>
              <w:rPr/>
              <w:t> </w:t>
            </w:r>
          </w:p>
        </w:tc>
      </w:tr>
      <w:tr>
        <w:trPr/>
        <w:tc>
          <w:tcPr>
            <w:tcW w:w="7204" w:type="dxa"/>
            <w:gridSpan w:val="2"/>
            <w:tcBorders/>
            <w:vAlign w:val="center"/>
          </w:tcPr>
          <w:p>
            <w:pPr>
              <w:pStyle w:val="TableContents"/>
              <w:bidi w:val="0"/>
              <w:spacing w:before="0" w:after="283"/>
              <w:jc w:val="left"/>
              <w:rPr>
                <w:sz w:val="20"/>
              </w:rPr>
            </w:pPr>
            <w:r>
              <w:rPr>
                <w:sz w:val="20"/>
              </w:rPr>
              <w:t>Realized loss/(gain) on XAUt</w:t>
            </w:r>
            <w:r>
              <w:rPr>
                <w:position w:val="7"/>
                <w:sz w:val="16"/>
                <w:sz w:val="20"/>
              </w:rPr>
              <w:t>(iii)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b/>
                <w:sz w:val="20"/>
              </w:rPr>
            </w:pPr>
            <w:r>
              <w:rPr>
                <w:b/>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sz w:val="20"/>
              </w:rPr>
            </w:pPr>
            <w:r>
              <w:rPr>
                <w:b/>
                <w:sz w:val="20"/>
              </w:rPr>
              <w:t>1,105,140</w:t>
            </w:r>
          </w:p>
        </w:tc>
        <w:tc>
          <w:tcPr>
            <w:tcW w:w="275" w:type="dxa"/>
            <w:tcBorders/>
            <w:vAlign w:val="center"/>
          </w:tcPr>
          <w:p>
            <w:pPr>
              <w:pStyle w:val="TableContents"/>
              <w:bidi w:val="0"/>
              <w:spacing w:before="0" w:after="283"/>
              <w:jc w:val="left"/>
              <w:rPr/>
            </w:pPr>
            <w:r>
              <w:rPr/>
              <w:t> </w:t>
            </w:r>
          </w:p>
        </w:tc>
      </w:tr>
      <w:tr>
        <w:trPr/>
        <w:tc>
          <w:tcPr>
            <w:tcW w:w="7204" w:type="dxa"/>
            <w:gridSpan w:val="2"/>
            <w:tcBorders/>
            <w:shd w:fill="CCEEFF" w:val="clear"/>
            <w:vAlign w:val="center"/>
          </w:tcPr>
          <w:p>
            <w:pPr>
              <w:pStyle w:val="TableContents"/>
              <w:bidi w:val="0"/>
              <w:spacing w:before="0" w:after="283"/>
              <w:jc w:val="left"/>
              <w:rPr>
                <w:b/>
                <w:sz w:val="20"/>
              </w:rPr>
            </w:pPr>
            <w:r>
              <w:rPr>
                <w:b/>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sz w:val="20"/>
              </w:rPr>
            </w:pPr>
            <w:r>
              <w:rPr>
                <w:b/>
                <w:sz w:val="20"/>
              </w:rPr>
              <w:t>515,297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sz w:val="20"/>
              </w:rPr>
            </w:pPr>
            <w:r>
              <w:rPr>
                <w:b/>
                <w:sz w:val="20"/>
              </w:rPr>
              <w:t>24,399,312</w:t>
            </w:r>
          </w:p>
        </w:tc>
        <w:tc>
          <w:tcPr>
            <w:tcW w:w="275" w:type="dxa"/>
            <w:tcBorders/>
            <w:shd w:fill="CCEEFF" w:val="clear"/>
            <w:vAlign w:val="center"/>
          </w:tcPr>
          <w:p>
            <w:pPr>
              <w:pStyle w:val="TableContents"/>
              <w:bidi w:val="0"/>
              <w:spacing w:before="0" w:after="283"/>
              <w:jc w:val="left"/>
              <w:rPr/>
            </w:pPr>
            <w:r>
              <w:rPr/>
              <w:t> </w:t>
            </w:r>
          </w:p>
        </w:tc>
      </w:tr>
      <w:tr>
        <w:trPr/>
        <w:tc>
          <w:tcPr>
            <w:tcW w:w="7204" w:type="dxa"/>
            <w:gridSpan w:val="2"/>
            <w:tcBorders/>
            <w:vAlign w:val="center"/>
          </w:tcPr>
          <w:p>
            <w:pPr>
              <w:pStyle w:val="TableContents"/>
              <w:bidi w:val="0"/>
              <w:spacing w:before="0" w:after="283"/>
              <w:jc w:val="left"/>
              <w:rPr/>
            </w:pPr>
            <w:r>
              <w:rPr/>
              <w:t> </w:t>
            </w:r>
            <w:r>
              <w:rPr>
                <w:b/>
                <w:sz w:val="20"/>
              </w:rPr>
              <w:t>Loss from operations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b/>
                <w:sz w:val="20"/>
              </w:rPr>
            </w:pPr>
            <w:r>
              <w:rPr>
                <w:b/>
                <w:sz w:val="20"/>
              </w:rPr>
              <w:t>(1,647,448</w:t>
            </w:r>
          </w:p>
        </w:tc>
        <w:tc>
          <w:tcPr>
            <w:tcW w:w="80" w:type="dxa"/>
            <w:tcBorders/>
            <w:vAlign w:val="center"/>
          </w:tcPr>
          <w:p>
            <w:pPr>
              <w:pStyle w:val="TableContents"/>
              <w:bidi w:val="0"/>
              <w:spacing w:before="0" w:after="283"/>
              <w:jc w:val="left"/>
              <w:rPr>
                <w:b/>
                <w:sz w:val="20"/>
              </w:rPr>
            </w:pPr>
            <w:r>
              <w:rPr>
                <w:b/>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sz w:val="20"/>
              </w:rPr>
            </w:pPr>
            <w:r>
              <w:rPr>
                <w:b/>
                <w:sz w:val="20"/>
              </w:rPr>
              <w:t>(24,399,312</w:t>
            </w:r>
          </w:p>
        </w:tc>
        <w:tc>
          <w:tcPr>
            <w:tcW w:w="275" w:type="dxa"/>
            <w:tcBorders/>
            <w:vAlign w:val="center"/>
          </w:tcPr>
          <w:p>
            <w:pPr>
              <w:pStyle w:val="TableContents"/>
              <w:bidi w:val="0"/>
              <w:spacing w:before="0" w:after="283"/>
              <w:ind w:left="0" w:right="0" w:firstLine="180"/>
              <w:jc w:val="left"/>
              <w:rPr>
                <w:b/>
                <w:sz w:val="20"/>
              </w:rPr>
            </w:pPr>
            <w:r>
              <w:rPr>
                <w:b/>
                <w:sz w:val="20"/>
              </w:rPr>
              <w:t>)</w:t>
            </w:r>
          </w:p>
        </w:tc>
      </w:tr>
      <w:tr>
        <w:trPr/>
        <w:tc>
          <w:tcPr>
            <w:tcW w:w="7204" w:type="dxa"/>
            <w:gridSpan w:val="2"/>
            <w:tcBorders/>
            <w:shd w:fill="CCEEFF" w:val="clear"/>
            <w:vAlign w:val="center"/>
          </w:tcPr>
          <w:p>
            <w:pPr>
              <w:pStyle w:val="TableContents"/>
              <w:bidi w:val="0"/>
              <w:spacing w:before="0" w:after="283"/>
              <w:jc w:val="left"/>
              <w:rPr>
                <w:color w:val="202228"/>
                <w:sz w:val="20"/>
              </w:rPr>
            </w:pPr>
            <w:r>
              <w:rPr>
                <w:color w:val="202228"/>
                <w:sz w:val="20"/>
              </w:rPr>
              <w:t>Non-operating income/(expense)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ind w:left="0" w:right="0" w:hanging="360"/>
              <w:jc w:val="left"/>
              <w:rPr/>
            </w:pPr>
            <w:r>
              <w:rPr/>
              <w:t> </w:t>
            </w:r>
          </w:p>
        </w:tc>
      </w:tr>
      <w:tr>
        <w:trPr/>
        <w:tc>
          <w:tcPr>
            <w:tcW w:w="7204" w:type="dxa"/>
            <w:gridSpan w:val="2"/>
            <w:tcBorders/>
            <w:vAlign w:val="center"/>
          </w:tcPr>
          <w:p>
            <w:pPr>
              <w:pStyle w:val="TableContents"/>
              <w:bidi w:val="0"/>
              <w:spacing w:before="0" w:after="283"/>
              <w:jc w:val="left"/>
              <w:rPr>
                <w:sz w:val="20"/>
              </w:rPr>
            </w:pPr>
            <w:r>
              <w:rPr>
                <w:sz w:val="20"/>
              </w:rPr>
              <w:t>-       Loan Interests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sz w:val="20"/>
              </w:rPr>
            </w:pPr>
            <w:r>
              <w:rPr>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sz w:val="20"/>
              </w:rPr>
            </w:pPr>
            <w:r>
              <w:rPr>
                <w:sz w:val="20"/>
              </w:rPr>
              <w:t>(620,925</w:t>
            </w:r>
          </w:p>
        </w:tc>
        <w:tc>
          <w:tcPr>
            <w:tcW w:w="275" w:type="dxa"/>
            <w:tcBorders/>
            <w:vAlign w:val="center"/>
          </w:tcPr>
          <w:p>
            <w:pPr>
              <w:pStyle w:val="TableContents"/>
              <w:bidi w:val="0"/>
              <w:spacing w:before="0" w:after="283"/>
              <w:ind w:left="0" w:right="0" w:hanging="360"/>
              <w:jc w:val="left"/>
              <w:rPr>
                <w:sz w:val="20"/>
              </w:rPr>
            </w:pPr>
            <w:r>
              <w:rPr>
                <w:sz w:val="20"/>
              </w:rPr>
              <w:t>)</w:t>
            </w:r>
          </w:p>
        </w:tc>
      </w:tr>
      <w:tr>
        <w:trPr/>
        <w:tc>
          <w:tcPr>
            <w:tcW w:w="7204" w:type="dxa"/>
            <w:gridSpan w:val="2"/>
            <w:tcBorders/>
            <w:shd w:fill="CCEEFF" w:val="clear"/>
            <w:vAlign w:val="center"/>
          </w:tcPr>
          <w:p>
            <w:pPr>
              <w:pStyle w:val="TableContents"/>
              <w:bidi w:val="0"/>
              <w:spacing w:before="0" w:after="283"/>
              <w:jc w:val="left"/>
              <w:rPr>
                <w:sz w:val="20"/>
              </w:rPr>
            </w:pPr>
            <w:r>
              <w:rPr>
                <w:sz w:val="20"/>
              </w:rPr>
              <w:t>-       Other income/(expense)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sz w:val="20"/>
              </w:rPr>
            </w:pPr>
            <w:r>
              <w:rPr>
                <w:sz w:val="20"/>
              </w:rPr>
              <w:t>76,013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(43,601</w:t>
            </w:r>
          </w:p>
        </w:tc>
        <w:tc>
          <w:tcPr>
            <w:tcW w:w="275" w:type="dxa"/>
            <w:tcBorders/>
            <w:shd w:fill="CCEEFF" w:val="clear"/>
            <w:vAlign w:val="center"/>
          </w:tcPr>
          <w:p>
            <w:pPr>
              <w:pStyle w:val="TableContents"/>
              <w:bidi w:val="0"/>
              <w:spacing w:before="0" w:after="283"/>
              <w:jc w:val="left"/>
              <w:rPr>
                <w:sz w:val="20"/>
              </w:rPr>
            </w:pPr>
            <w:r>
              <w:rPr>
                <w:sz w:val="20"/>
              </w:rPr>
              <w:t>)</w:t>
            </w:r>
          </w:p>
        </w:tc>
      </w:tr>
      <w:tr>
        <w:trPr/>
        <w:tc>
          <w:tcPr>
            <w:tcW w:w="7204" w:type="dxa"/>
            <w:gridSpan w:val="2"/>
            <w:tcBorders/>
            <w:vAlign w:val="center"/>
          </w:tcPr>
          <w:p>
            <w:pPr>
              <w:pStyle w:val="TableContents"/>
              <w:bidi w:val="0"/>
              <w:spacing w:before="0" w:after="283"/>
              <w:jc w:val="left"/>
              <w:rPr>
                <w:b/>
                <w:sz w:val="20"/>
              </w:rPr>
            </w:pPr>
            <w:r>
              <w:rPr>
                <w:b/>
                <w:sz w:val="20"/>
              </w:rPr>
              <w:t>Loss from continuing operations before income tax</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b/>
                <w:sz w:val="20"/>
              </w:rPr>
              <w:t>（</w:t>
            </w:r>
            <w:r>
              <w:rPr>
                <w:b/>
                <w:sz w:val="20"/>
              </w:rPr>
              <w:t>1,571,435)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sz w:val="20"/>
              </w:rPr>
            </w:pPr>
            <w:r>
              <w:rPr>
                <w:b/>
                <w:sz w:val="20"/>
              </w:rPr>
              <w:t>(25,063,838</w:t>
            </w:r>
          </w:p>
        </w:tc>
        <w:tc>
          <w:tcPr>
            <w:tcW w:w="275" w:type="dxa"/>
            <w:tcBorders/>
            <w:vAlign w:val="center"/>
          </w:tcPr>
          <w:p>
            <w:pPr>
              <w:pStyle w:val="TableContents"/>
              <w:bidi w:val="0"/>
              <w:spacing w:before="0" w:after="283"/>
              <w:jc w:val="left"/>
              <w:rPr>
                <w:b/>
                <w:sz w:val="20"/>
              </w:rPr>
            </w:pPr>
            <w:r>
              <w:rPr>
                <w:b/>
                <w:sz w:val="20"/>
              </w:rPr>
              <w:t>)</w:t>
            </w:r>
          </w:p>
        </w:tc>
      </w:tr>
      <w:tr>
        <w:trPr/>
        <w:tc>
          <w:tcPr>
            <w:tcW w:w="7204" w:type="dxa"/>
            <w:gridSpan w:val="2"/>
            <w:tcBorders/>
            <w:shd w:fill="CCEEFF" w:val="clear"/>
            <w:vAlign w:val="center"/>
          </w:tcPr>
          <w:p>
            <w:pPr>
              <w:pStyle w:val="TableContents"/>
              <w:bidi w:val="0"/>
              <w:spacing w:before="0" w:after="283"/>
              <w:jc w:val="left"/>
              <w:rPr>
                <w:sz w:val="20"/>
              </w:rPr>
            </w:pPr>
            <w:r>
              <w:rPr>
                <w:sz w:val="20"/>
              </w:rPr>
              <w:t>Income tax benefit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sz w:val="20"/>
              </w:rPr>
            </w:pPr>
            <w:r>
              <w:rPr>
                <w:sz w:val="20"/>
              </w:rPr>
              <w:t>32,642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w:t>
            </w:r>
          </w:p>
        </w:tc>
        <w:tc>
          <w:tcPr>
            <w:tcW w:w="275" w:type="dxa"/>
            <w:tcBorders/>
            <w:shd w:fill="CCEEFF" w:val="clear"/>
            <w:vAlign w:val="center"/>
          </w:tcPr>
          <w:p>
            <w:pPr>
              <w:pStyle w:val="TableContents"/>
              <w:bidi w:val="0"/>
              <w:spacing w:before="0" w:after="283"/>
              <w:jc w:val="left"/>
              <w:rPr/>
            </w:pPr>
            <w:r>
              <w:rPr/>
              <w:t> </w:t>
            </w:r>
          </w:p>
        </w:tc>
      </w:tr>
      <w:tr>
        <w:trPr/>
        <w:tc>
          <w:tcPr>
            <w:tcW w:w="7204" w:type="dxa"/>
            <w:gridSpan w:val="2"/>
            <w:tcBorders/>
            <w:vAlign w:val="center"/>
          </w:tcPr>
          <w:p>
            <w:pPr>
              <w:pStyle w:val="TableContents"/>
              <w:bidi w:val="0"/>
              <w:spacing w:before="0" w:after="283"/>
              <w:jc w:val="left"/>
              <w:rPr>
                <w:b/>
                <w:sz w:val="20"/>
              </w:rPr>
            </w:pPr>
            <w:r>
              <w:rPr>
                <w:b/>
                <w:sz w:val="20"/>
              </w:rPr>
              <w:t>Net loss from continuing operations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b/>
                <w:sz w:val="20"/>
              </w:rPr>
            </w:pPr>
            <w:r>
              <w:rPr>
                <w:b/>
                <w:sz w:val="20"/>
              </w:rPr>
              <w:t>(1,538,793</w:t>
            </w:r>
          </w:p>
        </w:tc>
        <w:tc>
          <w:tcPr>
            <w:tcW w:w="80" w:type="dxa"/>
            <w:tcBorders/>
            <w:vAlign w:val="center"/>
          </w:tcPr>
          <w:p>
            <w:pPr>
              <w:pStyle w:val="TableContents"/>
              <w:bidi w:val="0"/>
              <w:spacing w:before="0" w:after="283"/>
              <w:jc w:val="left"/>
              <w:rPr>
                <w:b/>
                <w:sz w:val="20"/>
              </w:rPr>
            </w:pPr>
            <w:r>
              <w:rPr>
                <w:b/>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sz w:val="20"/>
              </w:rPr>
            </w:pPr>
            <w:r>
              <w:rPr>
                <w:b/>
                <w:sz w:val="20"/>
              </w:rPr>
              <w:t>(25,063,838</w:t>
            </w:r>
          </w:p>
        </w:tc>
        <w:tc>
          <w:tcPr>
            <w:tcW w:w="275" w:type="dxa"/>
            <w:tcBorders/>
            <w:vAlign w:val="center"/>
          </w:tcPr>
          <w:p>
            <w:pPr>
              <w:pStyle w:val="TableContents"/>
              <w:bidi w:val="0"/>
              <w:spacing w:before="0" w:after="283"/>
              <w:jc w:val="left"/>
              <w:rPr>
                <w:b/>
                <w:sz w:val="20"/>
              </w:rPr>
            </w:pPr>
            <w:r>
              <w:rPr>
                <w:b/>
                <w:sz w:val="20"/>
              </w:rPr>
              <w:t>)</w:t>
            </w:r>
          </w:p>
        </w:tc>
      </w:tr>
      <w:tr>
        <w:trPr/>
        <w:tc>
          <w:tcPr>
            <w:tcW w:w="7204" w:type="dxa"/>
            <w:gridSpan w:val="2"/>
            <w:tcBorders/>
            <w:shd w:fill="CCEEFF" w:val="clear"/>
            <w:vAlign w:val="center"/>
          </w:tcPr>
          <w:p>
            <w:pPr>
              <w:pStyle w:val="TableContents"/>
              <w:bidi w:val="0"/>
              <w:spacing w:before="0" w:after="283"/>
              <w:jc w:val="left"/>
              <w:rPr>
                <w:b/>
                <w:sz w:val="20"/>
              </w:rPr>
            </w:pPr>
            <w:r>
              <w:rPr>
                <w:b/>
                <w:sz w:val="20"/>
              </w:rPr>
              <w:t>Net income from discontinued operations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sz w:val="20"/>
              </w:rPr>
            </w:pPr>
            <w:r>
              <w:rPr>
                <w:b/>
                <w:sz w:val="20"/>
              </w:rPr>
              <w:t>33,625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sz w:val="20"/>
              </w:rPr>
            </w:pPr>
            <w:r>
              <w:rPr>
                <w:b/>
                <w:sz w:val="20"/>
              </w:rPr>
              <w:t>-</w:t>
            </w:r>
          </w:p>
        </w:tc>
        <w:tc>
          <w:tcPr>
            <w:tcW w:w="275" w:type="dxa"/>
            <w:tcBorders/>
            <w:shd w:fill="CCEEFF" w:val="clear"/>
            <w:vAlign w:val="center"/>
          </w:tcPr>
          <w:p>
            <w:pPr>
              <w:pStyle w:val="TableContents"/>
              <w:bidi w:val="0"/>
              <w:spacing w:before="0" w:after="283"/>
              <w:jc w:val="left"/>
              <w:rPr/>
            </w:pPr>
            <w:r>
              <w:rPr/>
              <w:t> </w:t>
            </w:r>
          </w:p>
        </w:tc>
      </w:tr>
      <w:tr>
        <w:trPr/>
        <w:tc>
          <w:tcPr>
            <w:tcW w:w="7204" w:type="dxa"/>
            <w:gridSpan w:val="2"/>
            <w:tcBorders/>
            <w:vAlign w:val="center"/>
          </w:tcPr>
          <w:p>
            <w:pPr>
              <w:pStyle w:val="TableContents"/>
              <w:bidi w:val="0"/>
              <w:spacing w:before="0" w:after="283"/>
              <w:jc w:val="left"/>
              <w:rPr>
                <w:b/>
                <w:sz w:val="20"/>
              </w:rPr>
            </w:pPr>
            <w:r>
              <w:rPr>
                <w:b/>
                <w:sz w:val="20"/>
              </w:rPr>
              <w:t>Net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b/>
                <w:sz w:val="20"/>
              </w:rPr>
            </w:pPr>
            <w:r>
              <w:rPr>
                <w:b/>
                <w:sz w:val="20"/>
              </w:rPr>
              <w:t>(1,505,168</w:t>
            </w:r>
          </w:p>
        </w:tc>
        <w:tc>
          <w:tcPr>
            <w:tcW w:w="80" w:type="dxa"/>
            <w:tcBorders/>
            <w:vAlign w:val="center"/>
          </w:tcPr>
          <w:p>
            <w:pPr>
              <w:pStyle w:val="TableContents"/>
              <w:bidi w:val="0"/>
              <w:spacing w:before="0" w:after="283"/>
              <w:jc w:val="left"/>
              <w:rPr>
                <w:b/>
                <w:sz w:val="20"/>
              </w:rPr>
            </w:pPr>
            <w:r>
              <w:rPr>
                <w:b/>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sz w:val="20"/>
              </w:rPr>
            </w:pPr>
            <w:r>
              <w:rPr>
                <w:b/>
                <w:sz w:val="20"/>
              </w:rPr>
              <w:t>(25,063,838</w:t>
            </w:r>
          </w:p>
        </w:tc>
        <w:tc>
          <w:tcPr>
            <w:tcW w:w="275" w:type="dxa"/>
            <w:tcBorders/>
            <w:vAlign w:val="center"/>
          </w:tcPr>
          <w:p>
            <w:pPr>
              <w:pStyle w:val="TableContents"/>
              <w:bidi w:val="0"/>
              <w:spacing w:before="0" w:after="283"/>
              <w:jc w:val="left"/>
              <w:rPr>
                <w:b/>
                <w:sz w:val="20"/>
              </w:rPr>
            </w:pPr>
            <w:r>
              <w:rPr>
                <w:b/>
                <w:sz w:val="20"/>
              </w:rPr>
              <w:t>)</w:t>
            </w:r>
          </w:p>
        </w:tc>
      </w:tr>
      <w:tr>
        <w:trPr/>
        <w:tc>
          <w:tcPr>
            <w:tcW w:w="7204" w:type="dxa"/>
            <w:gridSpan w:val="2"/>
            <w:tcBorders/>
            <w:shd w:fill="CCEEFF" w:val="clear"/>
            <w:vAlign w:val="center"/>
          </w:tcPr>
          <w:p>
            <w:pPr>
              <w:pStyle w:val="TableContents"/>
              <w:bidi w:val="0"/>
              <w:spacing w:before="0" w:after="283"/>
              <w:jc w:val="left"/>
              <w:rPr>
                <w:b/>
                <w:sz w:val="20"/>
              </w:rPr>
            </w:pPr>
            <w:r>
              <w:rPr>
                <w:b/>
                <w:sz w:val="20"/>
              </w:rPr>
              <w:t>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sz w:val="20"/>
              </w:rPr>
            </w:pPr>
            <w:r>
              <w:rPr>
                <w:b/>
                <w:sz w:val="20"/>
              </w:rPr>
              <w:t>(1,473,610</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sz w:val="20"/>
              </w:rPr>
            </w:pPr>
            <w:r>
              <w:rPr>
                <w:b/>
                <w:sz w:val="20"/>
              </w:rPr>
              <w:t>(24,986,690</w:t>
            </w:r>
          </w:p>
        </w:tc>
        <w:tc>
          <w:tcPr>
            <w:tcW w:w="275" w:type="dxa"/>
            <w:tcBorders/>
            <w:shd w:fill="CCEEFF" w:val="clear"/>
            <w:vAlign w:val="center"/>
          </w:tcPr>
          <w:p>
            <w:pPr>
              <w:pStyle w:val="TableContents"/>
              <w:bidi w:val="0"/>
              <w:spacing w:before="0" w:after="283"/>
              <w:jc w:val="left"/>
              <w:rPr>
                <w:b/>
                <w:sz w:val="20"/>
              </w:rPr>
            </w:pPr>
            <w:r>
              <w:rPr>
                <w:b/>
                <w:sz w:val="20"/>
              </w:rPr>
              <w:t>)</w:t>
            </w:r>
          </w:p>
        </w:tc>
      </w:tr>
      <w:tr>
        <w:trPr/>
        <w:tc>
          <w:tcPr>
            <w:tcW w:w="7204" w:type="dxa"/>
            <w:gridSpan w:val="2"/>
            <w:tcBorders/>
            <w:vAlign w:val="center"/>
          </w:tcPr>
          <w:p>
            <w:pPr>
              <w:pStyle w:val="TableContents"/>
              <w:bidi w:val="0"/>
              <w:spacing w:before="0" w:after="283"/>
              <w:jc w:val="left"/>
              <w:rPr>
                <w:b/>
                <w:sz w:val="20"/>
              </w:rPr>
            </w:pPr>
            <w:r>
              <w:rPr>
                <w:b/>
                <w:sz w:val="20"/>
              </w:rPr>
              <w:t>Weighted average number of 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r>
      <w:tr>
        <w:trPr/>
        <w:tc>
          <w:tcPr>
            <w:tcW w:w="7204" w:type="dxa"/>
            <w:gridSpan w:val="2"/>
            <w:tcBorders/>
            <w:shd w:fill="CCEEFF" w:val="clear"/>
            <w:vAlign w:val="center"/>
          </w:tcPr>
          <w:p>
            <w:pPr>
              <w:pStyle w:val="TableContents"/>
              <w:bidi w:val="0"/>
              <w:spacing w:before="0" w:after="283"/>
              <w:jc w:val="left"/>
              <w:rPr>
                <w:sz w:val="20"/>
              </w:rPr>
            </w:pPr>
            <w:r>
              <w:rPr>
                <w:sz w:val="20"/>
              </w:rPr>
              <w:t>Basic</w:t>
            </w:r>
            <w:r>
              <w:rPr>
                <w:position w:val="7"/>
                <w:sz w:val="16"/>
                <w:sz w:val="20"/>
              </w:rPr>
              <w:t>(iv)</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sz w:val="20"/>
              </w:rPr>
            </w:pPr>
            <w:r>
              <w:rPr>
                <w:sz w:val="20"/>
              </w:rPr>
              <w:t>6,853,803</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34,616,450</w:t>
            </w:r>
          </w:p>
        </w:tc>
        <w:tc>
          <w:tcPr>
            <w:tcW w:w="275" w:type="dxa"/>
            <w:tcBorders/>
            <w:shd w:fill="CCEEFF" w:val="clear"/>
            <w:vAlign w:val="center"/>
          </w:tcPr>
          <w:p>
            <w:pPr>
              <w:pStyle w:val="TableContents"/>
              <w:bidi w:val="0"/>
              <w:spacing w:before="0" w:after="283"/>
              <w:jc w:val="left"/>
              <w:rPr>
                <w:sz w:val="4"/>
                <w:szCs w:val="4"/>
              </w:rPr>
            </w:pPr>
            <w:r>
              <w:rPr>
                <w:sz w:val="4"/>
                <w:szCs w:val="4"/>
              </w:rPr>
            </w:r>
          </w:p>
        </w:tc>
      </w:tr>
      <w:tr>
        <w:trPr/>
        <w:tc>
          <w:tcPr>
            <w:tcW w:w="7204" w:type="dxa"/>
            <w:gridSpan w:val="2"/>
            <w:tcBorders/>
            <w:vAlign w:val="center"/>
          </w:tcPr>
          <w:p>
            <w:pPr>
              <w:pStyle w:val="TableContents"/>
              <w:bidi w:val="0"/>
              <w:spacing w:before="0" w:after="283"/>
              <w:jc w:val="left"/>
              <w:rPr>
                <w:sz w:val="20"/>
              </w:rPr>
            </w:pPr>
            <w:r>
              <w:rPr>
                <w:sz w:val="20"/>
              </w:rPr>
              <w:t>Diluted</w:t>
            </w:r>
            <w:r>
              <w:rPr>
                <w:position w:val="7"/>
                <w:sz w:val="16"/>
                <w:sz w:val="20"/>
              </w:rPr>
              <w:t>(iv)</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sz w:val="20"/>
              </w:rPr>
            </w:pPr>
            <w:r>
              <w:rPr>
                <w:sz w:val="20"/>
              </w:rPr>
              <w:t>6,853,803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sz w:val="20"/>
              </w:rPr>
            </w:pPr>
            <w:r>
              <w:rPr>
                <w:sz w:val="20"/>
              </w:rPr>
              <w:t>34,616,450</w:t>
            </w:r>
          </w:p>
        </w:tc>
        <w:tc>
          <w:tcPr>
            <w:tcW w:w="275" w:type="dxa"/>
            <w:tcBorders/>
            <w:vAlign w:val="center"/>
          </w:tcPr>
          <w:p>
            <w:pPr>
              <w:pStyle w:val="TableContents"/>
              <w:bidi w:val="0"/>
              <w:spacing w:before="0" w:after="283"/>
              <w:jc w:val="left"/>
              <w:rPr/>
            </w:pPr>
            <w:r>
              <w:rPr/>
              <w:t> </w:t>
            </w:r>
          </w:p>
        </w:tc>
      </w:tr>
      <w:tr>
        <w:trPr/>
        <w:tc>
          <w:tcPr>
            <w:tcW w:w="7204" w:type="dxa"/>
            <w:gridSpan w:val="2"/>
            <w:tcBorders/>
            <w:shd w:fill="CCEEFF" w:val="clear"/>
            <w:vAlign w:val="center"/>
          </w:tcPr>
          <w:p>
            <w:pPr>
              <w:pStyle w:val="TableContents"/>
              <w:bidi w:val="0"/>
              <w:spacing w:before="0" w:after="0"/>
              <w:ind w:left="0" w:right="0" w:hanging="0"/>
              <w:jc w:val="left"/>
              <w:rPr>
                <w:b/>
                <w:sz w:val="20"/>
              </w:rPr>
            </w:pPr>
            <w:r>
              <w:rPr>
                <w:b/>
                <w:sz w:val="20"/>
              </w:rPr>
              <w:t>Loss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7204" w:type="dxa"/>
            <w:gridSpan w:val="2"/>
            <w:tcBorders/>
            <w:vAlign w:val="center"/>
          </w:tcPr>
          <w:p>
            <w:pPr>
              <w:pStyle w:val="TableContents"/>
              <w:bidi w:val="0"/>
              <w:spacing w:before="0" w:after="283"/>
              <w:jc w:val="left"/>
              <w:rPr>
                <w:sz w:val="20"/>
              </w:rPr>
            </w:pPr>
            <w:r>
              <w:rPr>
                <w:sz w:val="20"/>
              </w:rPr>
              <w:t>Basic</w:t>
            </w:r>
            <w:r>
              <w:rPr>
                <w:position w:val="7"/>
                <w:sz w:val="16"/>
                <w:sz w:val="20"/>
              </w:rPr>
              <w:t>(iv)</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sz w:val="20"/>
              </w:rPr>
            </w:pPr>
            <w:r>
              <w:rPr>
                <w:sz w:val="20"/>
              </w:rPr>
              <w:t>(0.22</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sz w:val="20"/>
              </w:rPr>
            </w:pPr>
            <w:r>
              <w:rPr>
                <w:sz w:val="20"/>
              </w:rPr>
              <w:t>(0.72</w:t>
            </w:r>
          </w:p>
        </w:tc>
        <w:tc>
          <w:tcPr>
            <w:tcW w:w="275" w:type="dxa"/>
            <w:tcBorders/>
            <w:vAlign w:val="center"/>
          </w:tcPr>
          <w:p>
            <w:pPr>
              <w:pStyle w:val="TableContents"/>
              <w:bidi w:val="0"/>
              <w:spacing w:before="0" w:after="283"/>
              <w:ind w:left="0" w:right="0" w:hanging="0"/>
              <w:jc w:val="left"/>
              <w:rPr>
                <w:sz w:val="20"/>
              </w:rPr>
            </w:pPr>
            <w:r>
              <w:rPr>
                <w:sz w:val="20"/>
              </w:rPr>
              <w:t>)</w:t>
            </w:r>
          </w:p>
        </w:tc>
      </w:tr>
      <w:tr>
        <w:trPr/>
        <w:tc>
          <w:tcPr>
            <w:tcW w:w="7204" w:type="dxa"/>
            <w:gridSpan w:val="2"/>
            <w:tcBorders/>
            <w:shd w:fill="CCEEFF" w:val="clear"/>
            <w:vAlign w:val="center"/>
          </w:tcPr>
          <w:p>
            <w:pPr>
              <w:pStyle w:val="TableContents"/>
              <w:bidi w:val="0"/>
              <w:spacing w:before="0" w:after="283"/>
              <w:jc w:val="left"/>
              <w:rPr>
                <w:sz w:val="20"/>
              </w:rPr>
            </w:pPr>
            <w:r>
              <w:rPr>
                <w:sz w:val="20"/>
              </w:rPr>
              <w:t>Diluted</w:t>
            </w:r>
            <w:r>
              <w:rPr>
                <w:position w:val="7"/>
                <w:sz w:val="16"/>
                <w:sz w:val="20"/>
              </w:rPr>
              <w:t>(iv)</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sz w:val="20"/>
              </w:rPr>
            </w:pPr>
            <w:r>
              <w:rPr>
                <w:sz w:val="20"/>
              </w:rPr>
              <w:t>(0.22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(0.72</w:t>
            </w:r>
          </w:p>
        </w:tc>
        <w:tc>
          <w:tcPr>
            <w:tcW w:w="275" w:type="dxa"/>
            <w:tcBorders/>
            <w:shd w:fill="CCEEFF" w:val="clear"/>
            <w:vAlign w:val="center"/>
          </w:tcPr>
          <w:p>
            <w:pPr>
              <w:pStyle w:val="TableContents"/>
              <w:bidi w:val="0"/>
              <w:spacing w:before="0" w:after="283"/>
              <w:jc w:val="left"/>
              <w:rPr>
                <w:sz w:val="20"/>
              </w:rPr>
            </w:pPr>
            <w:r>
              <w:rPr>
                <w:sz w:val="20"/>
              </w:rPr>
              <w:t>)</w:t>
            </w:r>
          </w:p>
        </w:tc>
      </w:tr>
      <w:tr>
        <w:trPr/>
        <w:tc>
          <w:tcPr>
            <w:tcW w:w="720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9348" w:type="dxa"/>
        <w:jc w:val="left"/>
        <w:tblInd w:w="0" w:type="dxa"/>
        <w:tblLayout w:type="fixed"/>
        <w:tblCellMar>
          <w:top w:w="0" w:type="dxa"/>
          <w:left w:w="0" w:type="dxa"/>
          <w:bottom w:w="0" w:type="dxa"/>
          <w:right w:w="0" w:type="dxa"/>
        </w:tblCellMar>
      </w:tblPr>
      <w:tblGrid>
        <w:gridCol w:w="38"/>
        <w:gridCol w:w="230"/>
        <w:gridCol w:w="90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9080" w:type="dxa"/>
            <w:tcBorders/>
            <w:vAlign w:val="center"/>
          </w:tcPr>
          <w:p>
            <w:pPr>
              <w:pStyle w:val="TableContents"/>
              <w:bidi w:val="0"/>
              <w:spacing w:before="0" w:after="283"/>
              <w:jc w:val="left"/>
              <w:rPr/>
            </w:pPr>
            <w:r>
              <w:rPr/>
              <w:t>Represents unrealized loss/(gain) on XAUt assets held by the Company as of the reporting date.</w:t>
            </w:r>
          </w:p>
        </w:tc>
      </w:tr>
    </w:tbl>
    <w:tbl>
      <w:tblPr>
        <w:tblW w:w="4578" w:type="dxa"/>
        <w:jc w:val="left"/>
        <w:tblInd w:w="0" w:type="dxa"/>
        <w:tblLayout w:type="fixed"/>
        <w:tblCellMar>
          <w:top w:w="0" w:type="dxa"/>
          <w:left w:w="0" w:type="dxa"/>
          <w:bottom w:w="0" w:type="dxa"/>
          <w:right w:w="0" w:type="dxa"/>
        </w:tblCellMar>
      </w:tblPr>
      <w:tblGrid>
        <w:gridCol w:w="38"/>
        <w:gridCol w:w="290"/>
        <w:gridCol w:w="42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4250" w:type="dxa"/>
            <w:tcBorders/>
            <w:vAlign w:val="center"/>
          </w:tcPr>
          <w:p>
            <w:pPr>
              <w:pStyle w:val="TableContents"/>
              <w:bidi w:val="0"/>
              <w:spacing w:before="0" w:after="283"/>
              <w:jc w:val="left"/>
              <w:rPr/>
            </w:pPr>
            <w:r>
              <w:rPr/>
              <w:t>Represents unrealized loss/(gain) on XAUE.</w:t>
            </w:r>
          </w:p>
        </w:tc>
      </w:tr>
    </w:tbl>
    <w:tbl>
      <w:tblPr>
        <w:tblW w:w="9108" w:type="dxa"/>
        <w:jc w:val="left"/>
        <w:tblInd w:w="0" w:type="dxa"/>
        <w:tblLayout w:type="fixed"/>
        <w:tblCellMar>
          <w:top w:w="0" w:type="dxa"/>
          <w:left w:w="0" w:type="dxa"/>
          <w:bottom w:w="0" w:type="dxa"/>
          <w:right w:w="0" w:type="dxa"/>
        </w:tblCellMar>
      </w:tblPr>
      <w:tblGrid>
        <w:gridCol w:w="38"/>
        <w:gridCol w:w="350"/>
        <w:gridCol w:w="872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8720" w:type="dxa"/>
            <w:tcBorders/>
            <w:vAlign w:val="center"/>
          </w:tcPr>
          <w:p>
            <w:pPr>
              <w:pStyle w:val="TableContents"/>
              <w:bidi w:val="0"/>
              <w:spacing w:before="0" w:after="283"/>
              <w:jc w:val="left"/>
              <w:rPr/>
            </w:pPr>
            <w:r>
              <w:rPr/>
              <w:t>Represents the loss/(gain) recognized at the inception of subscribing for XAUE with XAUt.</w:t>
            </w:r>
          </w:p>
        </w:tc>
      </w:tr>
    </w:tbl>
    <w:tbl>
      <w:tblPr>
        <w:tblW w:w="10205" w:type="dxa"/>
        <w:jc w:val="left"/>
        <w:tblInd w:w="0" w:type="dxa"/>
        <w:tblLayout w:type="fixed"/>
        <w:tblCellMar>
          <w:top w:w="0" w:type="dxa"/>
          <w:left w:w="0" w:type="dxa"/>
          <w:bottom w:w="0" w:type="dxa"/>
          <w:right w:w="0" w:type="dxa"/>
        </w:tblCellMar>
      </w:tblPr>
      <w:tblGrid>
        <w:gridCol w:w="38"/>
        <w:gridCol w:w="324"/>
        <w:gridCol w:w="9843"/>
      </w:tblGrid>
      <w:tr>
        <w:trPr/>
        <w:tc>
          <w:tcPr>
            <w:tcW w:w="3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pPr>
            <w:r>
              <w:rPr/>
              <w:t>(iv)</w:t>
            </w:r>
          </w:p>
        </w:tc>
        <w:tc>
          <w:tcPr>
            <w:tcW w:w="9843" w:type="dxa"/>
            <w:tcBorders/>
            <w:vAlign w:val="center"/>
          </w:tcPr>
          <w:p>
            <w:pPr>
              <w:pStyle w:val="TableContents"/>
              <w:bidi w:val="0"/>
              <w:spacing w:before="0" w:after="283"/>
              <w:jc w:val="left"/>
              <w:rPr/>
            </w:pPr>
            <w:r>
              <w:rPr/>
              <w:t>All share and per share data for prior periods have been retrospectively adjusted to reflect the 1-for-10 share consolidation effective February 19, 2026.</w:t>
            </w:r>
          </w:p>
        </w:tc>
      </w:tr>
    </w:tbl>
    <w:p>
      <w:pPr>
        <w:pStyle w:val="TextBody"/>
        <w:bidi w:val="0"/>
        <w:spacing w:before="0" w:after="0"/>
        <w:ind w:left="0" w:right="0" w:hanging="0"/>
        <w:jc w:val="left"/>
        <w:rPr/>
      </w:pPr>
      <w:r>
        <w:rPr/>
        <w:t>  </w:t>
      </w:r>
    </w:p>
    <w:p>
      <w:pPr>
        <w:pStyle w:val="TextBody"/>
        <w:bidi w:val="0"/>
        <w:spacing w:before="120" w:after="12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1811" w:right="1811" w:hanging="0"/>
        <w:jc w:val="center"/>
        <w:rPr>
          <w:b/>
          <w:sz w:val="20"/>
        </w:rPr>
      </w:pPr>
      <w:r>
        <w:rPr>
          <w:b/>
          <w:sz w:val="20"/>
        </w:rPr>
        <w:t>Aurelion Inc.</w:t>
      </w:r>
    </w:p>
    <w:p>
      <w:pPr>
        <w:pStyle w:val="TextBody"/>
        <w:bidi w:val="0"/>
        <w:spacing w:before="0" w:after="0"/>
        <w:ind w:left="1811" w:right="1811" w:hanging="0"/>
        <w:jc w:val="center"/>
        <w:rPr>
          <w:b/>
          <w:sz w:val="20"/>
        </w:rPr>
      </w:pPr>
      <w:r>
        <w:rPr>
          <w:b/>
          <w:sz w:val="20"/>
        </w:rPr>
        <w:t>Condensed Consolidated Balance Sheets</w:t>
      </w:r>
    </w:p>
    <w:p>
      <w:pPr>
        <w:pStyle w:val="TextBody"/>
        <w:bidi w:val="0"/>
        <w:spacing w:before="0" w:after="0"/>
        <w:ind w:left="1811" w:right="1811" w:hanging="0"/>
        <w:jc w:val="center"/>
        <w:rPr>
          <w:sz w:val="20"/>
        </w:rPr>
      </w:pPr>
      <w:r>
        <w:rPr>
          <w:sz w:val="20"/>
        </w:rPr>
        <w:t>(in USD)</w:t>
      </w:r>
    </w:p>
    <w:p>
      <w:pPr>
        <w:pStyle w:val="TextBody"/>
        <w:bidi w:val="0"/>
        <w:spacing w:before="0" w:after="0"/>
        <w:ind w:left="1811" w:right="1811" w:hanging="0"/>
        <w:jc w:val="center"/>
        <w:rPr/>
      </w:pPr>
      <w:r>
        <w:rPr/>
        <w:t> </w:t>
      </w:r>
    </w:p>
    <w:p>
      <w:pPr>
        <w:pStyle w:val="TextBody"/>
        <w:bidi w:val="0"/>
        <w:spacing w:before="0" w:after="0"/>
        <w:ind w:left="1811" w:right="1811" w:hanging="0"/>
        <w:jc w:val="center"/>
        <w:rPr/>
      </w:pPr>
      <w:r>
        <w:rPr/>
        <w:t> </w:t>
      </w:r>
    </w:p>
    <w:tbl>
      <w:tblPr>
        <w:tblW w:w="7348" w:type="dxa"/>
        <w:jc w:val="left"/>
        <w:tblInd w:w="0" w:type="dxa"/>
        <w:tblLayout w:type="fixed"/>
        <w:tblCellMar>
          <w:top w:w="0" w:type="dxa"/>
          <w:left w:w="0" w:type="dxa"/>
          <w:bottom w:w="0" w:type="dxa"/>
          <w:right w:w="0" w:type="dxa"/>
        </w:tblCellMar>
      </w:tblPr>
      <w:tblGrid>
        <w:gridCol w:w="4655"/>
        <w:gridCol w:w="60"/>
        <w:gridCol w:w="91"/>
        <w:gridCol w:w="1168"/>
        <w:gridCol w:w="124"/>
        <w:gridCol w:w="60"/>
        <w:gridCol w:w="60"/>
        <w:gridCol w:w="1055"/>
        <w:gridCol w:w="75"/>
      </w:tblGrid>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3" w:type="dxa"/>
            <w:gridSpan w:val="3"/>
            <w:tcBorders/>
            <w:vAlign w:val="center"/>
          </w:tcPr>
          <w:p>
            <w:pPr>
              <w:pStyle w:val="TableContents"/>
              <w:bidi w:val="0"/>
              <w:spacing w:before="0" w:after="283"/>
              <w:jc w:val="center"/>
              <w:rPr>
                <w:b/>
                <w:sz w:val="20"/>
              </w:rPr>
            </w:pPr>
            <w:r>
              <w:rPr>
                <w:b/>
                <w:sz w:val="20"/>
              </w:rPr>
              <w:t>As of September</w:t>
            </w:r>
          </w:p>
        </w:tc>
        <w:tc>
          <w:tcPr>
            <w:tcW w:w="60" w:type="dxa"/>
            <w:tcBorders/>
            <w:vAlign w:val="center"/>
          </w:tcPr>
          <w:p>
            <w:pPr>
              <w:pStyle w:val="TableContents"/>
              <w:bidi w:val="0"/>
              <w:spacing w:before="0" w:after="283"/>
              <w:jc w:val="left"/>
              <w:rPr/>
            </w:pPr>
            <w:r>
              <w:rPr/>
              <w:t> </w:t>
            </w:r>
          </w:p>
        </w:tc>
        <w:tc>
          <w:tcPr>
            <w:tcW w:w="1190" w:type="dxa"/>
            <w:gridSpan w:val="3"/>
            <w:tcBorders/>
            <w:vAlign w:val="center"/>
          </w:tcPr>
          <w:p>
            <w:pPr>
              <w:pStyle w:val="TableContents"/>
              <w:bidi w:val="0"/>
              <w:spacing w:before="0" w:after="283"/>
              <w:jc w:val="center"/>
              <w:rPr>
                <w:b/>
                <w:sz w:val="20"/>
              </w:rPr>
            </w:pPr>
            <w:r>
              <w:rPr>
                <w:b/>
                <w:sz w:val="20"/>
              </w:rPr>
              <w:t>As of June</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3" w:type="dxa"/>
            <w:gridSpan w:val="3"/>
            <w:tcBorders/>
            <w:vAlign w:val="center"/>
          </w:tcPr>
          <w:p>
            <w:pPr>
              <w:pStyle w:val="TableContents"/>
              <w:bidi w:val="0"/>
              <w:spacing w:before="0" w:after="283"/>
              <w:jc w:val="center"/>
              <w:rPr>
                <w:b/>
                <w:sz w:val="20"/>
              </w:rPr>
            </w:pPr>
            <w:r>
              <w:rPr>
                <w:b/>
                <w:sz w:val="20"/>
              </w:rPr>
              <w:t>30, 2025</w:t>
            </w:r>
          </w:p>
        </w:tc>
        <w:tc>
          <w:tcPr>
            <w:tcW w:w="60" w:type="dxa"/>
            <w:tcBorders/>
            <w:vAlign w:val="center"/>
          </w:tcPr>
          <w:p>
            <w:pPr>
              <w:pStyle w:val="TableContents"/>
              <w:bidi w:val="0"/>
              <w:spacing w:before="0" w:after="283"/>
              <w:jc w:val="left"/>
              <w:rPr/>
            </w:pPr>
            <w:r>
              <w:rPr/>
              <w:t> </w:t>
            </w:r>
          </w:p>
        </w:tc>
        <w:tc>
          <w:tcPr>
            <w:tcW w:w="1190" w:type="dxa"/>
            <w:gridSpan w:val="3"/>
            <w:tcBorders/>
            <w:vAlign w:val="center"/>
          </w:tcPr>
          <w:p>
            <w:pPr>
              <w:pStyle w:val="TableContents"/>
              <w:bidi w:val="0"/>
              <w:spacing w:before="0" w:after="283"/>
              <w:jc w:val="center"/>
              <w:rPr>
                <w:b/>
                <w:sz w:val="20"/>
              </w:rPr>
            </w:pPr>
            <w:r>
              <w:rPr>
                <w:b/>
                <w:sz w:val="20"/>
              </w:rPr>
              <w:t>30, 2026</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3"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3"/>
            <w:tcBorders/>
            <w:vAlign w:val="center"/>
          </w:tcPr>
          <w:p>
            <w:pPr>
              <w:pStyle w:val="TableContents"/>
              <w:bidi w:val="0"/>
              <w:spacing w:before="0" w:after="283"/>
              <w:jc w:val="center"/>
              <w:rPr>
                <w:b/>
                <w:sz w:val="20"/>
              </w:rPr>
            </w:pPr>
            <w:r>
              <w:rPr>
                <w:b/>
                <w:sz w:val="20"/>
              </w:rPr>
              <w:t>(unaudited)</w:t>
            </w:r>
          </w:p>
        </w:tc>
      </w:tr>
      <w:tr>
        <w:trPr/>
        <w:tc>
          <w:tcPr>
            <w:tcW w:w="4655" w:type="dxa"/>
            <w:tcBorders/>
            <w:shd w:fill="CCEEFF" w:val="clear"/>
            <w:vAlign w:val="center"/>
          </w:tcPr>
          <w:p>
            <w:pPr>
              <w:pStyle w:val="TableContents"/>
              <w:bidi w:val="0"/>
              <w:spacing w:before="0" w:after="283"/>
              <w:jc w:val="left"/>
              <w:rPr>
                <w:b/>
                <w:sz w:val="20"/>
              </w:rPr>
            </w:pPr>
            <w:r>
              <w:rPr>
                <w:b/>
                <w:sz w:val="20"/>
              </w:rPr>
              <w:t>Assets</w:t>
            </w:r>
          </w:p>
        </w:tc>
        <w:tc>
          <w:tcPr>
            <w:tcW w:w="60" w:type="dxa"/>
            <w:tcBorders/>
            <w:shd w:fill="CCEEFF" w:val="clear"/>
            <w:vAlign w:val="center"/>
          </w:tcPr>
          <w:p>
            <w:pPr>
              <w:pStyle w:val="TableContents"/>
              <w:bidi w:val="0"/>
              <w:spacing w:before="0" w:after="283"/>
              <w:jc w:val="left"/>
              <w:rPr/>
            </w:pPr>
            <w:r>
              <w:rPr/>
              <w:t> </w:t>
            </w:r>
          </w:p>
        </w:tc>
        <w:tc>
          <w:tcPr>
            <w:tcW w:w="1383" w:type="dxa"/>
            <w:gridSpan w:val="3"/>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gridSpan w:val="3"/>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b/>
                <w:sz w:val="20"/>
              </w:rPr>
            </w:pPr>
            <w:r>
              <w:rPr>
                <w:b/>
                <w:sz w:val="20"/>
              </w:rPr>
              <w:t>Current assets: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sz w:val="20"/>
              </w:rPr>
            </w:pPr>
            <w:r>
              <w:rPr>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sz w:val="20"/>
              </w:rPr>
            </w:pPr>
            <w:r>
              <w:rPr>
                <w:sz w:val="20"/>
              </w:rPr>
              <w:t>5,024</w:t>
            </w:r>
          </w:p>
        </w:tc>
        <w:tc>
          <w:tcPr>
            <w:tcW w:w="1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1,592,390</w:t>
            </w:r>
          </w:p>
        </w:tc>
        <w:tc>
          <w:tcPr>
            <w:tcW w:w="7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sz w:val="20"/>
              </w:rPr>
            </w:pPr>
            <w:r>
              <w:rPr>
                <w:sz w:val="20"/>
              </w:rPr>
              <w:t>Crypto assets held</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sz w:val="20"/>
              </w:rPr>
            </w:pPr>
            <w:r>
              <w:rPr>
                <w:sz w:val="20"/>
              </w:rPr>
              <w:t>-</w:t>
            </w:r>
          </w:p>
        </w:tc>
        <w:tc>
          <w:tcPr>
            <w:tcW w:w="1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133</w:t>
            </w:r>
          </w:p>
        </w:tc>
        <w:tc>
          <w:tcPr>
            <w:tcW w:w="75"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sz w:val="20"/>
              </w:rPr>
            </w:pPr>
            <w:r>
              <w:rPr>
                <w:sz w:val="20"/>
              </w:rPr>
              <w:t>XAUt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sz w:val="20"/>
              </w:rPr>
            </w:pPr>
            <w:r>
              <w:rPr>
                <w:sz w:val="20"/>
              </w:rPr>
              <w:t>-</w:t>
            </w:r>
          </w:p>
        </w:tc>
        <w:tc>
          <w:tcPr>
            <w:tcW w:w="1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34,789,724</w:t>
            </w:r>
          </w:p>
        </w:tc>
        <w:tc>
          <w:tcPr>
            <w:tcW w:w="7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sz w:val="20"/>
              </w:rPr>
            </w:pPr>
            <w:r>
              <w:rPr>
                <w:sz w:val="20"/>
              </w:rPr>
              <w:t>XAUE</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sz w:val="20"/>
              </w:rPr>
            </w:pPr>
            <w:r>
              <w:rPr>
                <w:sz w:val="20"/>
              </w:rPr>
              <w:t>-</w:t>
            </w:r>
          </w:p>
        </w:tc>
        <w:tc>
          <w:tcPr>
            <w:tcW w:w="1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32,020,481</w:t>
            </w:r>
          </w:p>
        </w:tc>
        <w:tc>
          <w:tcPr>
            <w:tcW w:w="75"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sz w:val="20"/>
              </w:rPr>
            </w:pPr>
            <w:r>
              <w:rPr>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sz w:val="20"/>
              </w:rPr>
            </w:pPr>
            <w:r>
              <w:rPr>
                <w:sz w:val="20"/>
              </w:rPr>
              <w:t>14,126</w:t>
            </w:r>
          </w:p>
        </w:tc>
        <w:tc>
          <w:tcPr>
            <w:tcW w:w="1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56,014</w:t>
            </w:r>
          </w:p>
        </w:tc>
        <w:tc>
          <w:tcPr>
            <w:tcW w:w="7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sz w:val="20"/>
              </w:rPr>
            </w:pPr>
            <w:r>
              <w:rPr>
                <w:sz w:val="20"/>
              </w:rPr>
              <w:t>Deferred offering cost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sz w:val="20"/>
              </w:rPr>
            </w:pPr>
            <w:r>
              <w:rPr>
                <w:sz w:val="20"/>
              </w:rPr>
              <w:t>12,466</w:t>
            </w:r>
          </w:p>
        </w:tc>
        <w:tc>
          <w:tcPr>
            <w:tcW w:w="1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w:t>
            </w:r>
          </w:p>
        </w:tc>
        <w:tc>
          <w:tcPr>
            <w:tcW w:w="75"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b/>
                <w:sz w:val="20"/>
              </w:rPr>
            </w:pPr>
            <w:r>
              <w:rPr>
                <w:b/>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b/>
                <w:sz w:val="20"/>
              </w:rPr>
            </w:pPr>
            <w:r>
              <w:rPr>
                <w:b/>
                <w:sz w:val="20"/>
              </w:rPr>
              <w:t>31,616</w:t>
            </w:r>
          </w:p>
        </w:tc>
        <w:tc>
          <w:tcPr>
            <w:tcW w:w="1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sz w:val="20"/>
              </w:rPr>
            </w:pPr>
            <w:r>
              <w:rPr>
                <w:b/>
                <w:sz w:val="20"/>
              </w:rPr>
              <w:t>68,458,742</w:t>
            </w:r>
          </w:p>
        </w:tc>
        <w:tc>
          <w:tcPr>
            <w:tcW w:w="7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b/>
                <w:sz w:val="20"/>
              </w:rPr>
            </w:pPr>
            <w:r>
              <w:rPr>
                <w:b/>
                <w:sz w:val="20"/>
              </w:rPr>
              <w:t>Non-current assets: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sz w:val="20"/>
              </w:rPr>
            </w:pPr>
            <w:r>
              <w:rPr>
                <w:sz w:val="20"/>
              </w:rPr>
              <w:t xml:space="preserve">XAUt collateral receivable from related party </w:t>
            </w:r>
            <w:r>
              <w:rPr>
                <w:position w:val="7"/>
                <w:sz w:val="16"/>
                <w:sz w:val="20"/>
              </w:rPr>
              <w:t>(i)</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sz w:val="20"/>
              </w:rPr>
            </w:pPr>
            <w:r>
              <w:rPr>
                <w:sz w:val="20"/>
              </w:rPr>
              <w:t>-</w:t>
            </w:r>
          </w:p>
        </w:tc>
        <w:tc>
          <w:tcPr>
            <w:tcW w:w="1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66,388,090</w:t>
            </w:r>
          </w:p>
        </w:tc>
        <w:tc>
          <w:tcPr>
            <w:tcW w:w="7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sz w:val="20"/>
              </w:rPr>
            </w:pPr>
            <w:r>
              <w:rPr>
                <w:sz w:val="20"/>
              </w:rPr>
              <w:t>Deferred offering cost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sz w:val="20"/>
              </w:rPr>
            </w:pPr>
            <w:r>
              <w:rPr>
                <w:sz w:val="20"/>
              </w:rPr>
              <w:t>-</w:t>
            </w:r>
          </w:p>
        </w:tc>
        <w:tc>
          <w:tcPr>
            <w:tcW w:w="1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491,694</w:t>
            </w:r>
          </w:p>
        </w:tc>
        <w:tc>
          <w:tcPr>
            <w:tcW w:w="75"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b/>
                <w:sz w:val="20"/>
              </w:rPr>
            </w:pPr>
            <w:r>
              <w:rPr>
                <w:b/>
                <w:sz w:val="20"/>
              </w:rPr>
              <w:t>Total non-current assets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b/>
                <w:sz w:val="20"/>
              </w:rPr>
            </w:pPr>
            <w:r>
              <w:rPr>
                <w:b/>
                <w:sz w:val="20"/>
              </w:rPr>
              <w:t>-</w:t>
            </w:r>
          </w:p>
        </w:tc>
        <w:tc>
          <w:tcPr>
            <w:tcW w:w="1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sz w:val="20"/>
              </w:rPr>
            </w:pPr>
            <w:r>
              <w:rPr>
                <w:b/>
                <w:sz w:val="20"/>
              </w:rPr>
              <w:t>66,879,784</w:t>
            </w:r>
          </w:p>
        </w:tc>
        <w:tc>
          <w:tcPr>
            <w:tcW w:w="7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b/>
                <w:sz w:val="20"/>
              </w:rPr>
            </w:pPr>
            <w:r>
              <w:rPr>
                <w:b/>
                <w:sz w:val="20"/>
              </w:rPr>
              <w:t>Total assets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b/>
                <w:sz w:val="20"/>
              </w:rPr>
            </w:pPr>
            <w:r>
              <w:rPr>
                <w:b/>
                <w:sz w:val="20"/>
              </w:rPr>
              <w:t>31,616</w:t>
            </w:r>
          </w:p>
        </w:tc>
        <w:tc>
          <w:tcPr>
            <w:tcW w:w="1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0"/>
              <w:ind w:left="0" w:right="0" w:hanging="0"/>
              <w:jc w:val="right"/>
              <w:rPr>
                <w:b/>
                <w:sz w:val="20"/>
              </w:rPr>
            </w:pPr>
            <w:r>
              <w:rPr>
                <w:b/>
                <w:sz w:val="20"/>
              </w:rPr>
              <w:t>135,338,526</w:t>
            </w:r>
          </w:p>
        </w:tc>
        <w:tc>
          <w:tcPr>
            <w:tcW w:w="75"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b/>
                <w:sz w:val="20"/>
              </w:rPr>
            </w:pPr>
            <w:r>
              <w:rPr>
                <w:b/>
                <w:sz w:val="20"/>
              </w:rPr>
              <w:t>Liabilities and shareholders’ equity Current liabilities: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b/>
                <w:sz w:val="20"/>
              </w:rPr>
            </w:pPr>
            <w:r>
              <w:rPr>
                <w:b/>
                <w:sz w:val="20"/>
              </w:rPr>
              <w:t>Current liabilities:</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 </w:t>
            </w:r>
          </w:p>
        </w:tc>
        <w:tc>
          <w:tcPr>
            <w:tcW w:w="1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0" w:right="0" w:hanging="0"/>
              <w:jc w:val="left"/>
              <w:rPr>
                <w:sz w:val="20"/>
              </w:rPr>
            </w:pPr>
            <w:r>
              <w:rPr>
                <w:sz w:val="20"/>
              </w:rPr>
              <w:t>Amounts due to related parties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sz w:val="20"/>
              </w:rPr>
            </w:pPr>
            <w:r>
              <w:rPr>
                <w:sz w:val="20"/>
              </w:rPr>
              <w:t>1,664 </w:t>
            </w:r>
          </w:p>
        </w:tc>
        <w:tc>
          <w:tcPr>
            <w:tcW w:w="1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121,928</w:t>
            </w:r>
          </w:p>
        </w:tc>
        <w:tc>
          <w:tcPr>
            <w:tcW w:w="75" w:type="dxa"/>
            <w:tcBorders/>
            <w:shd w:fill="CCEEFF" w:val="clear"/>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sz w:val="20"/>
              </w:rPr>
            </w:pPr>
            <w:r>
              <w:rPr>
                <w:sz w:val="20"/>
              </w:rPr>
              <w:t>Accrued expenses and other current liabilities</w:t>
            </w:r>
            <w:r>
              <w:rPr>
                <w:position w:val="7"/>
                <w:sz w:val="16"/>
                <w:sz w:val="20"/>
              </w:rPr>
              <w:t>(ii)</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sz w:val="20"/>
              </w:rPr>
            </w:pPr>
            <w:r>
              <w:rPr>
                <w:sz w:val="20"/>
              </w:rPr>
              <w:t>321,611</w:t>
            </w:r>
          </w:p>
        </w:tc>
        <w:tc>
          <w:tcPr>
            <w:tcW w:w="1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sz w:val="20"/>
              </w:rPr>
            </w:pPr>
            <w:r>
              <w:rPr>
                <w:sz w:val="20"/>
              </w:rPr>
              <w:t>1,522,808</w:t>
            </w:r>
          </w:p>
        </w:tc>
        <w:tc>
          <w:tcPr>
            <w:tcW w:w="75"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b/>
                <w:sz w:val="20"/>
              </w:rPr>
            </w:pPr>
            <w:r>
              <w:rPr>
                <w:b/>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b/>
                <w:sz w:val="20"/>
              </w:rPr>
            </w:pPr>
            <w:r>
              <w:rPr>
                <w:b/>
                <w:sz w:val="20"/>
              </w:rPr>
              <w:t>323,275</w:t>
            </w:r>
          </w:p>
        </w:tc>
        <w:tc>
          <w:tcPr>
            <w:tcW w:w="1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sz w:val="20"/>
              </w:rPr>
            </w:pPr>
            <w:r>
              <w:rPr>
                <w:b/>
                <w:sz w:val="20"/>
              </w:rPr>
              <w:t>1,644,736</w:t>
            </w:r>
          </w:p>
        </w:tc>
        <w:tc>
          <w:tcPr>
            <w:tcW w:w="75" w:type="dxa"/>
            <w:tcBorders/>
            <w:shd w:fill="CCEEFF" w:val="clear"/>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b/>
                <w:sz w:val="20"/>
              </w:rPr>
            </w:pPr>
            <w:r>
              <w:rPr>
                <w:b/>
                <w:sz w:val="20"/>
              </w:rPr>
              <w:t>Non-current liabilities:</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 </w:t>
            </w:r>
          </w:p>
        </w:tc>
        <w:tc>
          <w:tcPr>
            <w:tcW w:w="1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sz w:val="20"/>
              </w:rPr>
            </w:pPr>
            <w:r>
              <w:rPr>
                <w:sz w:val="20"/>
              </w:rPr>
              <w:t>Loan payables due to related party</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b/>
                <w:sz w:val="20"/>
              </w:rPr>
            </w:pPr>
            <w:r>
              <w:rPr>
                <w:b/>
                <w:sz w:val="20"/>
              </w:rPr>
              <w:t>-</w:t>
            </w:r>
          </w:p>
        </w:tc>
        <w:tc>
          <w:tcPr>
            <w:tcW w:w="1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42,792,744</w:t>
            </w:r>
          </w:p>
        </w:tc>
        <w:tc>
          <w:tcPr>
            <w:tcW w:w="75" w:type="dxa"/>
            <w:tcBorders/>
            <w:shd w:fill="CCEEFF" w:val="clear"/>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b/>
                <w:sz w:val="20"/>
              </w:rPr>
            </w:pPr>
            <w:r>
              <w:rPr>
                <w:b/>
                <w:sz w:val="20"/>
              </w:rPr>
              <w:t>Total non-current liabilities</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sz w:val="20"/>
              </w:rPr>
            </w:pPr>
            <w:r>
              <w:rPr>
                <w:sz w:val="20"/>
              </w:rPr>
              <w:t>-</w:t>
            </w:r>
          </w:p>
        </w:tc>
        <w:tc>
          <w:tcPr>
            <w:tcW w:w="1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b/>
                <w:sz w:val="20"/>
              </w:rPr>
            </w:pPr>
            <w:r>
              <w:rPr>
                <w:b/>
                <w:sz w:val="20"/>
              </w:rPr>
              <w:t>42,792,744</w:t>
            </w:r>
          </w:p>
        </w:tc>
        <w:tc>
          <w:tcPr>
            <w:tcW w:w="75"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b/>
                <w:sz w:val="20"/>
              </w:rPr>
            </w:pPr>
            <w:r>
              <w:rPr>
                <w:b/>
                <w:sz w:val="20"/>
              </w:rPr>
              <w:t>Total liabilities</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b/>
                <w:sz w:val="20"/>
              </w:rPr>
            </w:pPr>
            <w:r>
              <w:rPr>
                <w:b/>
                <w:sz w:val="20"/>
              </w:rPr>
              <w:t>323,275</w:t>
            </w:r>
          </w:p>
        </w:tc>
        <w:tc>
          <w:tcPr>
            <w:tcW w:w="1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sz w:val="20"/>
              </w:rPr>
            </w:pPr>
            <w:r>
              <w:rPr>
                <w:b/>
                <w:sz w:val="20"/>
              </w:rPr>
              <w:t>44,437,480</w:t>
            </w:r>
          </w:p>
        </w:tc>
        <w:tc>
          <w:tcPr>
            <w:tcW w:w="75" w:type="dxa"/>
            <w:tcBorders/>
            <w:shd w:fill="CCEEFF" w:val="clear"/>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b/>
                <w:sz w:val="20"/>
              </w:rPr>
            </w:pPr>
            <w:r>
              <w:rPr>
                <w:b/>
                <w:sz w:val="20"/>
              </w:rPr>
              <w:t>Total shareholders’ (deficit)/equity</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b/>
                <w:sz w:val="20"/>
              </w:rPr>
            </w:pPr>
            <w:r>
              <w:rPr>
                <w:b/>
                <w:sz w:val="20"/>
              </w:rPr>
              <w:t>(291,659</w:t>
            </w:r>
          </w:p>
        </w:tc>
        <w:tc>
          <w:tcPr>
            <w:tcW w:w="124" w:type="dxa"/>
            <w:tcBorders/>
            <w:vAlign w:val="center"/>
          </w:tcPr>
          <w:p>
            <w:pPr>
              <w:pStyle w:val="TableContents"/>
              <w:bidi w:val="0"/>
              <w:spacing w:before="0" w:after="283"/>
              <w:jc w:val="left"/>
              <w:rPr>
                <w:b/>
                <w:sz w:val="20"/>
              </w:rPr>
            </w:pPr>
            <w:r>
              <w:rPr>
                <w:b/>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b/>
                <w:sz w:val="20"/>
              </w:rPr>
            </w:pPr>
            <w:r>
              <w:rPr>
                <w:b/>
                <w:sz w:val="20"/>
              </w:rPr>
              <w:t>90,901,046</w:t>
            </w:r>
          </w:p>
        </w:tc>
        <w:tc>
          <w:tcPr>
            <w:tcW w:w="75"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b/>
                <w:sz w:val="20"/>
              </w:rPr>
            </w:pPr>
            <w:r>
              <w:rPr>
                <w:b/>
                <w:sz w:val="20"/>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b/>
                <w:sz w:val="20"/>
              </w:rPr>
            </w:pPr>
            <w:r>
              <w:rPr>
                <w:b/>
                <w:sz w:val="20"/>
              </w:rPr>
              <w:t>31,616</w:t>
            </w:r>
          </w:p>
        </w:tc>
        <w:tc>
          <w:tcPr>
            <w:tcW w:w="1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sz w:val="20"/>
              </w:rPr>
            </w:pPr>
            <w:r>
              <w:rPr>
                <w:b/>
                <w:sz w:val="20"/>
              </w:rPr>
              <w:t>135,338,526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128" w:type="dxa"/>
        <w:jc w:val="left"/>
        <w:tblInd w:w="0" w:type="dxa"/>
        <w:tblLayout w:type="fixed"/>
        <w:tblCellMar>
          <w:top w:w="0" w:type="dxa"/>
          <w:left w:w="0" w:type="dxa"/>
          <w:bottom w:w="0" w:type="dxa"/>
          <w:right w:w="0" w:type="dxa"/>
        </w:tblCellMar>
      </w:tblPr>
      <w:tblGrid>
        <w:gridCol w:w="38"/>
        <w:gridCol w:w="230"/>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9860" w:type="dxa"/>
            <w:tcBorders/>
            <w:vAlign w:val="center"/>
          </w:tcPr>
          <w:p>
            <w:pPr>
              <w:pStyle w:val="TableContents"/>
              <w:bidi w:val="0"/>
              <w:spacing w:before="0" w:after="283"/>
              <w:jc w:val="left"/>
              <w:rPr>
                <w:sz w:val="20"/>
              </w:rPr>
            </w:pPr>
            <w:r>
              <w:rPr>
                <w:sz w:val="20"/>
              </w:rPr>
              <w:t>XAUt collateral receivable from related party serves as collateral for the loan payable due to related party of $42,792,744.</w:t>
            </w:r>
          </w:p>
        </w:tc>
      </w:tr>
    </w:tbl>
    <w:tbl>
      <w:tblPr>
        <w:tblW w:w="9513" w:type="dxa"/>
        <w:jc w:val="left"/>
        <w:tblInd w:w="0" w:type="dxa"/>
        <w:tblLayout w:type="fixed"/>
        <w:tblCellMar>
          <w:top w:w="0" w:type="dxa"/>
          <w:left w:w="0" w:type="dxa"/>
          <w:bottom w:w="0" w:type="dxa"/>
          <w:right w:w="0" w:type="dxa"/>
        </w:tblCellMar>
      </w:tblPr>
      <w:tblGrid>
        <w:gridCol w:w="38"/>
        <w:gridCol w:w="290"/>
        <w:gridCol w:w="918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9185" w:type="dxa"/>
            <w:tcBorders/>
            <w:vAlign w:val="center"/>
          </w:tcPr>
          <w:p>
            <w:pPr>
              <w:pStyle w:val="TableContents"/>
              <w:bidi w:val="0"/>
              <w:spacing w:before="0" w:after="283"/>
              <w:jc w:val="left"/>
              <w:rPr>
                <w:sz w:val="20"/>
              </w:rPr>
            </w:pPr>
            <w:r>
              <w:rPr>
                <w:sz w:val="20"/>
              </w:rPr>
              <w:t>Accrued expenses and other current liabilities include accrued liabilities, other payables and the payroll payable.</w:t>
            </w:r>
          </w:p>
        </w:tc>
      </w:tr>
    </w:tbl>
    <w:p>
      <w:pPr>
        <w:pStyle w:val="TextBody"/>
        <w:bidi w:val="0"/>
        <w:spacing w:before="0" w:after="0"/>
        <w:ind w:left="1811" w:right="1811" w:hanging="0"/>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1813</Words>
  <Characters>10561</Characters>
  <CharactersWithSpaces>12594</CharactersWithSpaces>
  <Paragraphs>714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